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25AB9" w14:textId="77777777" w:rsidR="00A031A6" w:rsidRDefault="00A031A6">
      <w:pPr>
        <w:rPr>
          <w:rFonts w:ascii="Arial" w:eastAsia="Arial" w:hAnsi="Arial" w:cs="Arial"/>
          <w:sz w:val="44"/>
          <w:szCs w:val="44"/>
        </w:rPr>
      </w:pPr>
    </w:p>
    <w:p w14:paraId="223F57A1" w14:textId="77777777" w:rsidR="00A031A6" w:rsidRDefault="00A031A6">
      <w:pPr>
        <w:rPr>
          <w:rFonts w:ascii="Arial" w:eastAsia="Arial" w:hAnsi="Arial" w:cs="Arial"/>
          <w:sz w:val="44"/>
          <w:szCs w:val="44"/>
        </w:rPr>
      </w:pPr>
    </w:p>
    <w:p w14:paraId="73118EF5" w14:textId="77777777" w:rsidR="00A031A6" w:rsidRDefault="00A031A6">
      <w:pPr>
        <w:rPr>
          <w:rFonts w:ascii="Arial" w:eastAsia="Arial" w:hAnsi="Arial" w:cs="Arial"/>
          <w:sz w:val="44"/>
          <w:szCs w:val="44"/>
        </w:rPr>
      </w:pPr>
    </w:p>
    <w:p w14:paraId="03A6342F" w14:textId="77777777" w:rsidR="00A031A6" w:rsidRDefault="00A031A6">
      <w:pPr>
        <w:rPr>
          <w:rFonts w:ascii="Arial" w:eastAsia="Arial" w:hAnsi="Arial" w:cs="Arial"/>
          <w:sz w:val="44"/>
          <w:szCs w:val="44"/>
        </w:rPr>
      </w:pPr>
    </w:p>
    <w:p w14:paraId="1A2CA733" w14:textId="77777777" w:rsidR="00A031A6" w:rsidRDefault="00916FD0">
      <w:pPr>
        <w:rPr>
          <w:rFonts w:ascii="Arial" w:eastAsia="Arial" w:hAnsi="Arial" w:cs="Arial"/>
          <w:b/>
          <w:color w:val="00B0F0"/>
          <w:sz w:val="56"/>
          <w:szCs w:val="56"/>
        </w:rPr>
      </w:pPr>
      <w:r>
        <w:rPr>
          <w:rFonts w:ascii="Arial" w:eastAsia="Arial" w:hAnsi="Arial" w:cs="Arial"/>
          <w:b/>
          <w:sz w:val="36"/>
          <w:szCs w:val="36"/>
        </w:rPr>
        <w:t>Energy Transition Pathways for the 2030 Agenda</w:t>
      </w:r>
      <w:r>
        <w:rPr>
          <w:sz w:val="18"/>
          <w:szCs w:val="18"/>
        </w:rPr>
        <w:t xml:space="preserve"> </w:t>
      </w:r>
    </w:p>
    <w:p w14:paraId="3E1704E0" w14:textId="77777777" w:rsidR="00A031A6" w:rsidRDefault="00916FD0">
      <w:pPr>
        <w:rPr>
          <w:rFonts w:ascii="Arial" w:eastAsia="Arial" w:hAnsi="Arial" w:cs="Arial"/>
          <w:b/>
          <w:color w:val="00B0F0"/>
          <w:sz w:val="144"/>
          <w:szCs w:val="144"/>
        </w:rPr>
      </w:pPr>
      <w:r>
        <w:rPr>
          <w:rFonts w:ascii="Arial" w:eastAsia="Arial" w:hAnsi="Arial" w:cs="Arial"/>
          <w:b/>
          <w:color w:val="00B0F0"/>
          <w:sz w:val="56"/>
          <w:szCs w:val="56"/>
        </w:rPr>
        <w:t>SDG 7 Roadmap for Indonesia</w:t>
      </w:r>
    </w:p>
    <w:p w14:paraId="1422EBCE" w14:textId="77777777" w:rsidR="00A031A6" w:rsidRDefault="00A031A6">
      <w:pPr>
        <w:rPr>
          <w:rFonts w:ascii="Arial" w:eastAsia="Arial" w:hAnsi="Arial" w:cs="Arial"/>
          <w:sz w:val="24"/>
          <w:szCs w:val="24"/>
        </w:rPr>
      </w:pPr>
    </w:p>
    <w:p w14:paraId="1ABCFCEE" w14:textId="77777777" w:rsidR="00A031A6" w:rsidRDefault="00A031A6">
      <w:pPr>
        <w:rPr>
          <w:rFonts w:ascii="Arial" w:eastAsia="Arial" w:hAnsi="Arial" w:cs="Arial"/>
          <w:sz w:val="24"/>
          <w:szCs w:val="24"/>
        </w:rPr>
      </w:pPr>
    </w:p>
    <w:p w14:paraId="5F3FE7B0" w14:textId="77777777" w:rsidR="00A031A6" w:rsidRDefault="00A031A6">
      <w:pPr>
        <w:rPr>
          <w:rFonts w:ascii="Arial" w:eastAsia="Arial" w:hAnsi="Arial" w:cs="Arial"/>
          <w:sz w:val="24"/>
          <w:szCs w:val="24"/>
        </w:rPr>
      </w:pPr>
    </w:p>
    <w:p w14:paraId="31A831BE" w14:textId="77777777" w:rsidR="00A031A6" w:rsidRDefault="00A031A6">
      <w:pPr>
        <w:rPr>
          <w:rFonts w:ascii="Arial" w:eastAsia="Arial" w:hAnsi="Arial" w:cs="Arial"/>
          <w:sz w:val="24"/>
          <w:szCs w:val="24"/>
        </w:rPr>
      </w:pPr>
    </w:p>
    <w:p w14:paraId="1C890198" w14:textId="77777777" w:rsidR="00A031A6" w:rsidRDefault="00A031A6">
      <w:pPr>
        <w:rPr>
          <w:rFonts w:ascii="Arial" w:eastAsia="Arial" w:hAnsi="Arial" w:cs="Arial"/>
          <w:sz w:val="24"/>
          <w:szCs w:val="24"/>
        </w:rPr>
      </w:pPr>
    </w:p>
    <w:p w14:paraId="4F0EE734" w14:textId="77777777" w:rsidR="00A031A6" w:rsidRDefault="00A031A6">
      <w:pPr>
        <w:rPr>
          <w:rFonts w:ascii="Arial" w:eastAsia="Arial" w:hAnsi="Arial" w:cs="Arial"/>
          <w:sz w:val="24"/>
          <w:szCs w:val="24"/>
        </w:rPr>
      </w:pPr>
    </w:p>
    <w:p w14:paraId="09C89E92" w14:textId="77777777" w:rsidR="00A031A6" w:rsidRDefault="00A031A6">
      <w:pPr>
        <w:rPr>
          <w:rFonts w:ascii="Arial" w:eastAsia="Arial" w:hAnsi="Arial" w:cs="Arial"/>
          <w:sz w:val="24"/>
          <w:szCs w:val="24"/>
        </w:rPr>
      </w:pPr>
    </w:p>
    <w:p w14:paraId="7077F0FF" w14:textId="77777777" w:rsidR="00A031A6" w:rsidRDefault="00916FD0">
      <w:pPr>
        <w:rPr>
          <w:rFonts w:ascii="Arial" w:eastAsia="Arial" w:hAnsi="Arial" w:cs="Arial"/>
          <w:sz w:val="24"/>
          <w:szCs w:val="24"/>
        </w:rPr>
      </w:pPr>
      <w:r>
        <w:rPr>
          <w:noProof/>
        </w:rPr>
        <w:drawing>
          <wp:inline distT="0" distB="0" distL="0" distR="0" wp14:anchorId="15EC9E87" wp14:editId="318A6933">
            <wp:extent cx="1313921" cy="327731"/>
            <wp:effectExtent l="0" t="0" r="0" b="0"/>
            <wp:docPr id="38" name="image23.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object&#10;&#10;Description automatically generated"/>
                    <pic:cNvPicPr preferRelativeResize="0"/>
                  </pic:nvPicPr>
                  <pic:blipFill>
                    <a:blip r:embed="rId8"/>
                    <a:srcRect/>
                    <a:stretch>
                      <a:fillRect/>
                    </a:stretch>
                  </pic:blipFill>
                  <pic:spPr>
                    <a:xfrm>
                      <a:off x="0" y="0"/>
                      <a:ext cx="1313921" cy="327731"/>
                    </a:xfrm>
                    <a:prstGeom prst="rect">
                      <a:avLst/>
                    </a:prstGeom>
                    <a:ln/>
                  </pic:spPr>
                </pic:pic>
              </a:graphicData>
            </a:graphic>
          </wp:inline>
        </w:drawing>
      </w:r>
    </w:p>
    <w:p w14:paraId="44655C0D" w14:textId="77777777" w:rsidR="00A031A6" w:rsidRDefault="00916FD0">
      <w:pPr>
        <w:rPr>
          <w:rFonts w:ascii="Arial" w:eastAsia="Arial" w:hAnsi="Arial" w:cs="Arial"/>
          <w:i/>
          <w:sz w:val="24"/>
          <w:szCs w:val="24"/>
        </w:rPr>
      </w:pPr>
      <w:r>
        <w:rPr>
          <w:rFonts w:ascii="Arial" w:eastAsia="Arial" w:hAnsi="Arial" w:cs="Arial"/>
          <w:i/>
          <w:sz w:val="24"/>
          <w:szCs w:val="24"/>
        </w:rPr>
        <w:t>Developed using National Expert SDG 7 Tool for Energy Planning (NEXSTEP)</w:t>
      </w:r>
    </w:p>
    <w:p w14:paraId="7F892A79" w14:textId="77777777" w:rsidR="00A031A6" w:rsidRDefault="00916FD0">
      <w:pPr>
        <w:rPr>
          <w:rFonts w:ascii="Arial" w:eastAsia="Arial" w:hAnsi="Arial" w:cs="Arial"/>
          <w:sz w:val="24"/>
          <w:szCs w:val="24"/>
        </w:rPr>
      </w:pPr>
      <w:r>
        <w:rPr>
          <w:rFonts w:ascii="Arial" w:eastAsia="Arial" w:hAnsi="Arial" w:cs="Arial"/>
          <w:sz w:val="24"/>
          <w:szCs w:val="24"/>
        </w:rPr>
        <w:t>June 2020</w:t>
      </w:r>
    </w:p>
    <w:p w14:paraId="4C2F564C" w14:textId="77777777" w:rsidR="00A031A6" w:rsidRDefault="00A031A6">
      <w:pPr>
        <w:rPr>
          <w:rFonts w:ascii="Arial" w:eastAsia="Arial" w:hAnsi="Arial" w:cs="Arial"/>
          <w:b/>
          <w:color w:val="00B0F0"/>
          <w:sz w:val="48"/>
          <w:szCs w:val="48"/>
        </w:rPr>
      </w:pPr>
    </w:p>
    <w:p w14:paraId="4F0E82A4" w14:textId="77777777" w:rsidR="00A031A6" w:rsidRDefault="00A031A6">
      <w:pPr>
        <w:rPr>
          <w:rFonts w:ascii="Arial" w:eastAsia="Arial" w:hAnsi="Arial" w:cs="Arial"/>
          <w:b/>
          <w:color w:val="00B0F0"/>
          <w:sz w:val="48"/>
          <w:szCs w:val="48"/>
        </w:rPr>
      </w:pPr>
    </w:p>
    <w:p w14:paraId="7AB6B008" w14:textId="77777777" w:rsidR="00A031A6" w:rsidRDefault="00A031A6">
      <w:pPr>
        <w:rPr>
          <w:rFonts w:ascii="Arial" w:eastAsia="Arial" w:hAnsi="Arial" w:cs="Arial"/>
          <w:b/>
          <w:color w:val="00B0F0"/>
          <w:sz w:val="48"/>
          <w:szCs w:val="48"/>
        </w:rPr>
      </w:pPr>
    </w:p>
    <w:p w14:paraId="4D8C16AC" w14:textId="77777777" w:rsidR="00A031A6" w:rsidRDefault="00A031A6">
      <w:pPr>
        <w:rPr>
          <w:rFonts w:ascii="Arial" w:eastAsia="Arial" w:hAnsi="Arial" w:cs="Arial"/>
          <w:b/>
          <w:color w:val="00B0F0"/>
          <w:sz w:val="48"/>
          <w:szCs w:val="48"/>
        </w:rPr>
      </w:pPr>
    </w:p>
    <w:tbl>
      <w:tblPr>
        <w:tblStyle w:val="a"/>
        <w:tblW w:w="9016" w:type="dxa"/>
        <w:tblLayout w:type="fixed"/>
        <w:tblLook w:val="0400" w:firstRow="0" w:lastRow="0" w:firstColumn="0" w:lastColumn="0" w:noHBand="0" w:noVBand="1"/>
      </w:tblPr>
      <w:tblGrid>
        <w:gridCol w:w="1837"/>
        <w:gridCol w:w="284"/>
        <w:gridCol w:w="4378"/>
        <w:gridCol w:w="250"/>
        <w:gridCol w:w="2267"/>
      </w:tblGrid>
      <w:tr w:rsidR="00A031A6" w14:paraId="0FCD4924" w14:textId="77777777">
        <w:tc>
          <w:tcPr>
            <w:tcW w:w="1838" w:type="dxa"/>
            <w:vAlign w:val="center"/>
          </w:tcPr>
          <w:p w14:paraId="124E9064" w14:textId="77777777" w:rsidR="00A031A6" w:rsidRDefault="00916FD0">
            <w:pPr>
              <w:jc w:val="center"/>
              <w:rPr>
                <w:rFonts w:ascii="Arial" w:eastAsia="Arial" w:hAnsi="Arial" w:cs="Arial"/>
                <w:b/>
                <w:sz w:val="24"/>
                <w:szCs w:val="24"/>
              </w:rPr>
            </w:pPr>
            <w:r>
              <w:rPr>
                <w:noProof/>
              </w:rPr>
              <w:drawing>
                <wp:inline distT="0" distB="0" distL="0" distR="0" wp14:anchorId="25F2A04C" wp14:editId="67FC441F">
                  <wp:extent cx="577850" cy="577850"/>
                  <wp:effectExtent l="0" t="0" r="0" b="0"/>
                  <wp:docPr id="40" name="image31.png" descr="DEN"/>
                  <wp:cNvGraphicFramePr/>
                  <a:graphic xmlns:a="http://schemas.openxmlformats.org/drawingml/2006/main">
                    <a:graphicData uri="http://schemas.openxmlformats.org/drawingml/2006/picture">
                      <pic:pic xmlns:pic="http://schemas.openxmlformats.org/drawingml/2006/picture">
                        <pic:nvPicPr>
                          <pic:cNvPr id="0" name="image31.png" descr="DEN"/>
                          <pic:cNvPicPr preferRelativeResize="0"/>
                        </pic:nvPicPr>
                        <pic:blipFill>
                          <a:blip r:embed="rId9"/>
                          <a:srcRect/>
                          <a:stretch>
                            <a:fillRect/>
                          </a:stretch>
                        </pic:blipFill>
                        <pic:spPr>
                          <a:xfrm>
                            <a:off x="0" y="0"/>
                            <a:ext cx="577850" cy="577850"/>
                          </a:xfrm>
                          <a:prstGeom prst="rect">
                            <a:avLst/>
                          </a:prstGeom>
                          <a:ln/>
                        </pic:spPr>
                      </pic:pic>
                    </a:graphicData>
                  </a:graphic>
                </wp:inline>
              </w:drawing>
            </w:r>
          </w:p>
        </w:tc>
        <w:tc>
          <w:tcPr>
            <w:tcW w:w="284" w:type="dxa"/>
            <w:vAlign w:val="center"/>
          </w:tcPr>
          <w:p w14:paraId="6B05FFE0" w14:textId="77777777" w:rsidR="00A031A6" w:rsidRDefault="00A031A6">
            <w:pPr>
              <w:jc w:val="center"/>
              <w:rPr>
                <w:rFonts w:ascii="Arial" w:eastAsia="Arial" w:hAnsi="Arial" w:cs="Arial"/>
                <w:b/>
                <w:sz w:val="24"/>
                <w:szCs w:val="24"/>
              </w:rPr>
            </w:pPr>
          </w:p>
        </w:tc>
        <w:tc>
          <w:tcPr>
            <w:tcW w:w="4382" w:type="dxa"/>
            <w:vAlign w:val="center"/>
          </w:tcPr>
          <w:p w14:paraId="60363360" w14:textId="77777777" w:rsidR="00A031A6" w:rsidRDefault="00916FD0">
            <w:pPr>
              <w:jc w:val="center"/>
              <w:rPr>
                <w:rFonts w:ascii="Arial" w:eastAsia="Arial" w:hAnsi="Arial" w:cs="Arial"/>
                <w:b/>
                <w:sz w:val="24"/>
                <w:szCs w:val="24"/>
              </w:rPr>
            </w:pPr>
            <w:r>
              <w:rPr>
                <w:rFonts w:ascii="Times New Roman" w:eastAsia="Times New Roman" w:hAnsi="Times New Roman" w:cs="Times New Roman"/>
                <w:noProof/>
              </w:rPr>
              <w:drawing>
                <wp:inline distT="0" distB="0" distL="0" distR="0" wp14:anchorId="53CE4229" wp14:editId="2ACD0420">
                  <wp:extent cx="1390650" cy="387350"/>
                  <wp:effectExtent l="0" t="0" r="0" b="0"/>
                  <wp:docPr id="3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a:srcRect t="29421" r="8876" b="25280"/>
                          <a:stretch>
                            <a:fillRect/>
                          </a:stretch>
                        </pic:blipFill>
                        <pic:spPr>
                          <a:xfrm>
                            <a:off x="0" y="0"/>
                            <a:ext cx="1390650" cy="387350"/>
                          </a:xfrm>
                          <a:prstGeom prst="rect">
                            <a:avLst/>
                          </a:prstGeom>
                          <a:ln/>
                        </pic:spPr>
                      </pic:pic>
                    </a:graphicData>
                  </a:graphic>
                </wp:inline>
              </w:drawing>
            </w:r>
          </w:p>
        </w:tc>
        <w:tc>
          <w:tcPr>
            <w:tcW w:w="243" w:type="dxa"/>
            <w:vAlign w:val="center"/>
          </w:tcPr>
          <w:p w14:paraId="1A5DE596" w14:textId="77777777" w:rsidR="00A031A6" w:rsidRDefault="00A031A6">
            <w:pPr>
              <w:jc w:val="center"/>
              <w:rPr>
                <w:rFonts w:ascii="Arial" w:eastAsia="Arial" w:hAnsi="Arial" w:cs="Arial"/>
                <w:b/>
                <w:sz w:val="24"/>
                <w:szCs w:val="24"/>
              </w:rPr>
            </w:pPr>
          </w:p>
        </w:tc>
        <w:tc>
          <w:tcPr>
            <w:tcW w:w="2269" w:type="dxa"/>
            <w:vAlign w:val="center"/>
          </w:tcPr>
          <w:p w14:paraId="1F3D5AB3" w14:textId="77777777" w:rsidR="00A031A6" w:rsidRDefault="00916FD0">
            <w:pPr>
              <w:jc w:val="center"/>
              <w:rPr>
                <w:rFonts w:ascii="Arial" w:eastAsia="Arial" w:hAnsi="Arial" w:cs="Arial"/>
                <w:b/>
                <w:sz w:val="24"/>
                <w:szCs w:val="24"/>
              </w:rPr>
            </w:pPr>
            <w:r>
              <w:rPr>
                <w:noProof/>
              </w:rPr>
              <w:drawing>
                <wp:inline distT="0" distB="0" distL="0" distR="0" wp14:anchorId="16240250" wp14:editId="7E7983DC">
                  <wp:extent cx="1457101" cy="510356"/>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1457101" cy="510356"/>
                          </a:xfrm>
                          <a:prstGeom prst="rect">
                            <a:avLst/>
                          </a:prstGeom>
                          <a:ln/>
                        </pic:spPr>
                      </pic:pic>
                    </a:graphicData>
                  </a:graphic>
                </wp:inline>
              </w:drawing>
            </w:r>
          </w:p>
        </w:tc>
      </w:tr>
    </w:tbl>
    <w:p w14:paraId="517BA1D3" w14:textId="77777777" w:rsidR="00A031A6" w:rsidRDefault="00A031A6">
      <w:pPr>
        <w:pBdr>
          <w:top w:val="nil"/>
          <w:left w:val="nil"/>
          <w:bottom w:val="nil"/>
          <w:right w:val="nil"/>
          <w:between w:val="nil"/>
        </w:pBdr>
        <w:ind w:left="720"/>
        <w:rPr>
          <w:rFonts w:ascii="Arial" w:eastAsia="Arial" w:hAnsi="Arial" w:cs="Arial"/>
          <w:b/>
          <w:color w:val="000000"/>
          <w:sz w:val="28"/>
          <w:szCs w:val="28"/>
        </w:rPr>
        <w:sectPr w:rsidR="00A031A6">
          <w:footerReference w:type="default" r:id="rId12"/>
          <w:pgSz w:w="11906" w:h="16838"/>
          <w:pgMar w:top="1440" w:right="1077" w:bottom="454" w:left="1077" w:header="709" w:footer="709" w:gutter="0"/>
          <w:pgNumType w:start="1"/>
          <w:cols w:space="720"/>
        </w:sectPr>
      </w:pPr>
    </w:p>
    <w:p w14:paraId="0EFBFAE4" w14:textId="77777777" w:rsidR="00A031A6" w:rsidRDefault="00916FD0">
      <w:pPr>
        <w:keepNext/>
        <w:keepLines/>
        <w:spacing w:before="240" w:after="0" w:line="480" w:lineRule="auto"/>
        <w:rPr>
          <w:rFonts w:ascii="Arial" w:eastAsia="Arial" w:hAnsi="Arial" w:cs="Arial"/>
          <w:b/>
          <w:sz w:val="28"/>
          <w:szCs w:val="28"/>
        </w:rPr>
      </w:pPr>
      <w:r>
        <w:rPr>
          <w:rFonts w:ascii="Arial" w:eastAsia="Arial" w:hAnsi="Arial" w:cs="Arial"/>
          <w:b/>
          <w:sz w:val="28"/>
          <w:szCs w:val="28"/>
        </w:rPr>
        <w:lastRenderedPageBreak/>
        <w:t>Table of Contents</w:t>
      </w:r>
    </w:p>
    <w:sdt>
      <w:sdtPr>
        <w:id w:val="-2021618362"/>
        <w:docPartObj>
          <w:docPartGallery w:val="Table of Contents"/>
          <w:docPartUnique/>
        </w:docPartObj>
      </w:sdtPr>
      <w:sdtEndPr/>
      <w:sdtContent>
        <w:p w14:paraId="5BEB5AEE" w14:textId="1EDFF3B4" w:rsidR="00500FE4" w:rsidRDefault="00916FD0">
          <w:pPr>
            <w:pStyle w:val="TOC1"/>
            <w:tabs>
              <w:tab w:val="left" w:pos="440"/>
              <w:tab w:val="right" w:pos="9742"/>
            </w:tabs>
            <w:rPr>
              <w:rFonts w:asciiTheme="minorHAnsi" w:eastAsiaTheme="minorEastAsia" w:hAnsiTheme="minorHAnsi" w:cstheme="minorBidi"/>
              <w:noProof/>
              <w:lang w:val="en-MY" w:eastAsia="zh-CN"/>
            </w:rPr>
          </w:pPr>
          <w:r>
            <w:fldChar w:fldCharType="begin"/>
          </w:r>
          <w:r>
            <w:instrText xml:space="preserve"> TOC \h \u \z </w:instrText>
          </w:r>
          <w:r>
            <w:fldChar w:fldCharType="separate"/>
          </w:r>
          <w:hyperlink w:anchor="_Toc62221367" w:history="1">
            <w:r w:rsidR="00500FE4" w:rsidRPr="00031C90">
              <w:rPr>
                <w:rStyle w:val="Hyperlink"/>
                <w:noProof/>
              </w:rPr>
              <w:t>1.</w:t>
            </w:r>
            <w:r w:rsidR="00500FE4">
              <w:rPr>
                <w:rFonts w:asciiTheme="minorHAnsi" w:eastAsiaTheme="minorEastAsia" w:hAnsiTheme="minorHAnsi" w:cstheme="minorBidi"/>
                <w:noProof/>
                <w:lang w:val="en-MY" w:eastAsia="zh-CN"/>
              </w:rPr>
              <w:tab/>
            </w:r>
            <w:r w:rsidR="00500FE4" w:rsidRPr="00031C90">
              <w:rPr>
                <w:rStyle w:val="Hyperlink"/>
                <w:noProof/>
              </w:rPr>
              <w:t>Executive summary</w:t>
            </w:r>
            <w:r w:rsidR="00500FE4">
              <w:rPr>
                <w:noProof/>
                <w:webHidden/>
              </w:rPr>
              <w:tab/>
            </w:r>
            <w:r w:rsidR="00500FE4">
              <w:rPr>
                <w:noProof/>
                <w:webHidden/>
              </w:rPr>
              <w:fldChar w:fldCharType="begin"/>
            </w:r>
            <w:r w:rsidR="00500FE4">
              <w:rPr>
                <w:noProof/>
                <w:webHidden/>
              </w:rPr>
              <w:instrText xml:space="preserve"> PAGEREF _Toc62221367 \h </w:instrText>
            </w:r>
            <w:r w:rsidR="00500FE4">
              <w:rPr>
                <w:noProof/>
                <w:webHidden/>
              </w:rPr>
            </w:r>
            <w:r w:rsidR="00500FE4">
              <w:rPr>
                <w:noProof/>
                <w:webHidden/>
              </w:rPr>
              <w:fldChar w:fldCharType="separate"/>
            </w:r>
            <w:r w:rsidR="00500FE4">
              <w:rPr>
                <w:noProof/>
                <w:webHidden/>
              </w:rPr>
              <w:t>1</w:t>
            </w:r>
            <w:r w:rsidR="00500FE4">
              <w:rPr>
                <w:noProof/>
                <w:webHidden/>
              </w:rPr>
              <w:fldChar w:fldCharType="end"/>
            </w:r>
          </w:hyperlink>
        </w:p>
        <w:p w14:paraId="6F0C455C" w14:textId="4CC1A1FE" w:rsidR="00500FE4" w:rsidRDefault="00500FE4">
          <w:pPr>
            <w:pStyle w:val="TOC2"/>
            <w:tabs>
              <w:tab w:val="left" w:pos="660"/>
              <w:tab w:val="right" w:pos="9742"/>
            </w:tabs>
            <w:rPr>
              <w:rFonts w:asciiTheme="minorHAnsi" w:eastAsiaTheme="minorEastAsia" w:hAnsiTheme="minorHAnsi" w:cstheme="minorBidi"/>
              <w:noProof/>
              <w:lang w:val="en-MY" w:eastAsia="zh-CN"/>
            </w:rPr>
          </w:pPr>
          <w:hyperlink w:anchor="_Toc62221368" w:history="1">
            <w:r w:rsidRPr="00031C90">
              <w:rPr>
                <w:rStyle w:val="Hyperlink"/>
                <w:noProof/>
              </w:rPr>
              <w:t>A.</w:t>
            </w:r>
            <w:r>
              <w:rPr>
                <w:rFonts w:asciiTheme="minorHAnsi" w:eastAsiaTheme="minorEastAsia" w:hAnsiTheme="minorHAnsi" w:cstheme="minorBidi"/>
                <w:noProof/>
                <w:lang w:val="en-MY" w:eastAsia="zh-CN"/>
              </w:rPr>
              <w:tab/>
            </w:r>
            <w:r w:rsidRPr="00031C90">
              <w:rPr>
                <w:rStyle w:val="Hyperlink"/>
                <w:noProof/>
              </w:rPr>
              <w:t>Highlights of the roadmap</w:t>
            </w:r>
            <w:r>
              <w:rPr>
                <w:noProof/>
                <w:webHidden/>
              </w:rPr>
              <w:tab/>
            </w:r>
            <w:r>
              <w:rPr>
                <w:noProof/>
                <w:webHidden/>
              </w:rPr>
              <w:fldChar w:fldCharType="begin"/>
            </w:r>
            <w:r>
              <w:rPr>
                <w:noProof/>
                <w:webHidden/>
              </w:rPr>
              <w:instrText xml:space="preserve"> PAGEREF _Toc62221368 \h </w:instrText>
            </w:r>
            <w:r>
              <w:rPr>
                <w:noProof/>
                <w:webHidden/>
              </w:rPr>
            </w:r>
            <w:r>
              <w:rPr>
                <w:noProof/>
                <w:webHidden/>
              </w:rPr>
              <w:fldChar w:fldCharType="separate"/>
            </w:r>
            <w:r>
              <w:rPr>
                <w:noProof/>
                <w:webHidden/>
              </w:rPr>
              <w:t>1</w:t>
            </w:r>
            <w:r>
              <w:rPr>
                <w:noProof/>
                <w:webHidden/>
              </w:rPr>
              <w:fldChar w:fldCharType="end"/>
            </w:r>
          </w:hyperlink>
        </w:p>
        <w:p w14:paraId="44CDBFA6" w14:textId="4AED8E26" w:rsidR="00500FE4" w:rsidRDefault="00500FE4">
          <w:pPr>
            <w:pStyle w:val="TOC2"/>
            <w:tabs>
              <w:tab w:val="left" w:pos="660"/>
              <w:tab w:val="right" w:pos="9742"/>
            </w:tabs>
            <w:rPr>
              <w:rFonts w:asciiTheme="minorHAnsi" w:eastAsiaTheme="minorEastAsia" w:hAnsiTheme="minorHAnsi" w:cstheme="minorBidi"/>
              <w:noProof/>
              <w:lang w:val="en-MY" w:eastAsia="zh-CN"/>
            </w:rPr>
          </w:pPr>
          <w:hyperlink w:anchor="_Toc62221369" w:history="1">
            <w:r w:rsidRPr="00031C90">
              <w:rPr>
                <w:rStyle w:val="Hyperlink"/>
                <w:noProof/>
              </w:rPr>
              <w:t>B.</w:t>
            </w:r>
            <w:r>
              <w:rPr>
                <w:rFonts w:asciiTheme="minorHAnsi" w:eastAsiaTheme="minorEastAsia" w:hAnsiTheme="minorHAnsi" w:cstheme="minorBidi"/>
                <w:noProof/>
                <w:lang w:val="en-MY" w:eastAsia="zh-CN"/>
              </w:rPr>
              <w:tab/>
            </w:r>
            <w:r w:rsidRPr="00031C90">
              <w:rPr>
                <w:rStyle w:val="Hyperlink"/>
                <w:noProof/>
              </w:rPr>
              <w:t>Achieving Indonesia’s SDG 7 and NDC targets by 2030</w:t>
            </w:r>
            <w:r>
              <w:rPr>
                <w:noProof/>
                <w:webHidden/>
              </w:rPr>
              <w:tab/>
            </w:r>
            <w:r>
              <w:rPr>
                <w:noProof/>
                <w:webHidden/>
              </w:rPr>
              <w:fldChar w:fldCharType="begin"/>
            </w:r>
            <w:r>
              <w:rPr>
                <w:noProof/>
                <w:webHidden/>
              </w:rPr>
              <w:instrText xml:space="preserve"> PAGEREF _Toc62221369 \h </w:instrText>
            </w:r>
            <w:r>
              <w:rPr>
                <w:noProof/>
                <w:webHidden/>
              </w:rPr>
            </w:r>
            <w:r>
              <w:rPr>
                <w:noProof/>
                <w:webHidden/>
              </w:rPr>
              <w:fldChar w:fldCharType="separate"/>
            </w:r>
            <w:r>
              <w:rPr>
                <w:noProof/>
                <w:webHidden/>
              </w:rPr>
              <w:t>1</w:t>
            </w:r>
            <w:r>
              <w:rPr>
                <w:noProof/>
                <w:webHidden/>
              </w:rPr>
              <w:fldChar w:fldCharType="end"/>
            </w:r>
          </w:hyperlink>
        </w:p>
        <w:p w14:paraId="243E2C6E" w14:textId="02855289" w:rsidR="00500FE4" w:rsidRDefault="00500FE4">
          <w:pPr>
            <w:pStyle w:val="TOC3"/>
            <w:tabs>
              <w:tab w:val="right" w:pos="9742"/>
            </w:tabs>
            <w:rPr>
              <w:rFonts w:asciiTheme="minorHAnsi" w:eastAsiaTheme="minorEastAsia" w:hAnsiTheme="minorHAnsi" w:cstheme="minorBidi"/>
              <w:noProof/>
              <w:lang w:val="en-MY" w:eastAsia="zh-CN"/>
            </w:rPr>
          </w:pPr>
          <w:hyperlink w:anchor="_Toc62221370" w:history="1">
            <w:r w:rsidRPr="00031C90">
              <w:rPr>
                <w:rStyle w:val="Hyperlink"/>
                <w:noProof/>
              </w:rPr>
              <w:t>Universal access to electricity</w:t>
            </w:r>
            <w:r>
              <w:rPr>
                <w:noProof/>
                <w:webHidden/>
              </w:rPr>
              <w:tab/>
            </w:r>
            <w:r>
              <w:rPr>
                <w:noProof/>
                <w:webHidden/>
              </w:rPr>
              <w:fldChar w:fldCharType="begin"/>
            </w:r>
            <w:r>
              <w:rPr>
                <w:noProof/>
                <w:webHidden/>
              </w:rPr>
              <w:instrText xml:space="preserve"> PAGEREF _Toc62221370 \h </w:instrText>
            </w:r>
            <w:r>
              <w:rPr>
                <w:noProof/>
                <w:webHidden/>
              </w:rPr>
            </w:r>
            <w:r>
              <w:rPr>
                <w:noProof/>
                <w:webHidden/>
              </w:rPr>
              <w:fldChar w:fldCharType="separate"/>
            </w:r>
            <w:r>
              <w:rPr>
                <w:noProof/>
                <w:webHidden/>
              </w:rPr>
              <w:t>3</w:t>
            </w:r>
            <w:r>
              <w:rPr>
                <w:noProof/>
                <w:webHidden/>
              </w:rPr>
              <w:fldChar w:fldCharType="end"/>
            </w:r>
          </w:hyperlink>
        </w:p>
        <w:p w14:paraId="003B4BBC" w14:textId="2BEA8E1B" w:rsidR="00500FE4" w:rsidRDefault="00500FE4">
          <w:pPr>
            <w:pStyle w:val="TOC3"/>
            <w:tabs>
              <w:tab w:val="right" w:pos="9742"/>
            </w:tabs>
            <w:rPr>
              <w:rFonts w:asciiTheme="minorHAnsi" w:eastAsiaTheme="minorEastAsia" w:hAnsiTheme="minorHAnsi" w:cstheme="minorBidi"/>
              <w:noProof/>
              <w:lang w:val="en-MY" w:eastAsia="zh-CN"/>
            </w:rPr>
          </w:pPr>
          <w:hyperlink w:anchor="_Toc62221371" w:history="1">
            <w:r w:rsidRPr="00031C90">
              <w:rPr>
                <w:rStyle w:val="Hyperlink"/>
                <w:noProof/>
              </w:rPr>
              <w:t>Universal access to clean cooking</w:t>
            </w:r>
            <w:r>
              <w:rPr>
                <w:noProof/>
                <w:webHidden/>
              </w:rPr>
              <w:tab/>
            </w:r>
            <w:r>
              <w:rPr>
                <w:noProof/>
                <w:webHidden/>
              </w:rPr>
              <w:fldChar w:fldCharType="begin"/>
            </w:r>
            <w:r>
              <w:rPr>
                <w:noProof/>
                <w:webHidden/>
              </w:rPr>
              <w:instrText xml:space="preserve"> PAGEREF _Toc62221371 \h </w:instrText>
            </w:r>
            <w:r>
              <w:rPr>
                <w:noProof/>
                <w:webHidden/>
              </w:rPr>
            </w:r>
            <w:r>
              <w:rPr>
                <w:noProof/>
                <w:webHidden/>
              </w:rPr>
              <w:fldChar w:fldCharType="separate"/>
            </w:r>
            <w:r>
              <w:rPr>
                <w:noProof/>
                <w:webHidden/>
              </w:rPr>
              <w:t>3</w:t>
            </w:r>
            <w:r>
              <w:rPr>
                <w:noProof/>
                <w:webHidden/>
              </w:rPr>
              <w:fldChar w:fldCharType="end"/>
            </w:r>
          </w:hyperlink>
        </w:p>
        <w:p w14:paraId="7DD5219E" w14:textId="17FF3221" w:rsidR="00500FE4" w:rsidRDefault="00500FE4">
          <w:pPr>
            <w:pStyle w:val="TOC3"/>
            <w:tabs>
              <w:tab w:val="right" w:pos="9742"/>
            </w:tabs>
            <w:rPr>
              <w:rFonts w:asciiTheme="minorHAnsi" w:eastAsiaTheme="minorEastAsia" w:hAnsiTheme="minorHAnsi" w:cstheme="minorBidi"/>
              <w:noProof/>
              <w:lang w:val="en-MY" w:eastAsia="zh-CN"/>
            </w:rPr>
          </w:pPr>
          <w:hyperlink w:anchor="_Toc62221372" w:history="1">
            <w:r w:rsidRPr="00031C90">
              <w:rPr>
                <w:rStyle w:val="Hyperlink"/>
                <w:noProof/>
              </w:rPr>
              <w:t>Renewable energy</w:t>
            </w:r>
            <w:r>
              <w:rPr>
                <w:noProof/>
                <w:webHidden/>
              </w:rPr>
              <w:tab/>
            </w:r>
            <w:r>
              <w:rPr>
                <w:noProof/>
                <w:webHidden/>
              </w:rPr>
              <w:fldChar w:fldCharType="begin"/>
            </w:r>
            <w:r>
              <w:rPr>
                <w:noProof/>
                <w:webHidden/>
              </w:rPr>
              <w:instrText xml:space="preserve"> PAGEREF _Toc62221372 \h </w:instrText>
            </w:r>
            <w:r>
              <w:rPr>
                <w:noProof/>
                <w:webHidden/>
              </w:rPr>
            </w:r>
            <w:r>
              <w:rPr>
                <w:noProof/>
                <w:webHidden/>
              </w:rPr>
              <w:fldChar w:fldCharType="separate"/>
            </w:r>
            <w:r>
              <w:rPr>
                <w:noProof/>
                <w:webHidden/>
              </w:rPr>
              <w:t>3</w:t>
            </w:r>
            <w:r>
              <w:rPr>
                <w:noProof/>
                <w:webHidden/>
              </w:rPr>
              <w:fldChar w:fldCharType="end"/>
            </w:r>
          </w:hyperlink>
        </w:p>
        <w:p w14:paraId="74779EB0" w14:textId="0CDA3AAD" w:rsidR="00500FE4" w:rsidRDefault="00500FE4">
          <w:pPr>
            <w:pStyle w:val="TOC3"/>
            <w:tabs>
              <w:tab w:val="right" w:pos="9742"/>
            </w:tabs>
            <w:rPr>
              <w:rFonts w:asciiTheme="minorHAnsi" w:eastAsiaTheme="minorEastAsia" w:hAnsiTheme="minorHAnsi" w:cstheme="minorBidi"/>
              <w:noProof/>
              <w:lang w:val="en-MY" w:eastAsia="zh-CN"/>
            </w:rPr>
          </w:pPr>
          <w:hyperlink w:anchor="_Toc62221373" w:history="1">
            <w:r w:rsidRPr="00031C90">
              <w:rPr>
                <w:rStyle w:val="Hyperlink"/>
                <w:noProof/>
              </w:rPr>
              <w:t>Energy efficiency</w:t>
            </w:r>
            <w:r>
              <w:rPr>
                <w:noProof/>
                <w:webHidden/>
              </w:rPr>
              <w:tab/>
            </w:r>
            <w:r>
              <w:rPr>
                <w:noProof/>
                <w:webHidden/>
              </w:rPr>
              <w:fldChar w:fldCharType="begin"/>
            </w:r>
            <w:r>
              <w:rPr>
                <w:noProof/>
                <w:webHidden/>
              </w:rPr>
              <w:instrText xml:space="preserve"> PAGEREF _Toc62221373 \h </w:instrText>
            </w:r>
            <w:r>
              <w:rPr>
                <w:noProof/>
                <w:webHidden/>
              </w:rPr>
            </w:r>
            <w:r>
              <w:rPr>
                <w:noProof/>
                <w:webHidden/>
              </w:rPr>
              <w:fldChar w:fldCharType="separate"/>
            </w:r>
            <w:r>
              <w:rPr>
                <w:noProof/>
                <w:webHidden/>
              </w:rPr>
              <w:t>4</w:t>
            </w:r>
            <w:r>
              <w:rPr>
                <w:noProof/>
                <w:webHidden/>
              </w:rPr>
              <w:fldChar w:fldCharType="end"/>
            </w:r>
          </w:hyperlink>
        </w:p>
        <w:p w14:paraId="2C0FAA91" w14:textId="11E752AD" w:rsidR="00500FE4" w:rsidRDefault="00500FE4">
          <w:pPr>
            <w:pStyle w:val="TOC3"/>
            <w:tabs>
              <w:tab w:val="right" w:pos="9742"/>
            </w:tabs>
            <w:rPr>
              <w:rFonts w:asciiTheme="minorHAnsi" w:eastAsiaTheme="minorEastAsia" w:hAnsiTheme="minorHAnsi" w:cstheme="minorBidi"/>
              <w:noProof/>
              <w:lang w:val="en-MY" w:eastAsia="zh-CN"/>
            </w:rPr>
          </w:pPr>
          <w:hyperlink w:anchor="_Toc62221374" w:history="1">
            <w:r w:rsidRPr="00031C90">
              <w:rPr>
                <w:rStyle w:val="Hyperlink"/>
                <w:noProof/>
              </w:rPr>
              <w:t>Nationally determined contributions</w:t>
            </w:r>
            <w:r>
              <w:rPr>
                <w:noProof/>
                <w:webHidden/>
              </w:rPr>
              <w:tab/>
            </w:r>
            <w:r>
              <w:rPr>
                <w:noProof/>
                <w:webHidden/>
              </w:rPr>
              <w:fldChar w:fldCharType="begin"/>
            </w:r>
            <w:r>
              <w:rPr>
                <w:noProof/>
                <w:webHidden/>
              </w:rPr>
              <w:instrText xml:space="preserve"> PAGEREF _Toc62221374 \h </w:instrText>
            </w:r>
            <w:r>
              <w:rPr>
                <w:noProof/>
                <w:webHidden/>
              </w:rPr>
            </w:r>
            <w:r>
              <w:rPr>
                <w:noProof/>
                <w:webHidden/>
              </w:rPr>
              <w:fldChar w:fldCharType="separate"/>
            </w:r>
            <w:r>
              <w:rPr>
                <w:noProof/>
                <w:webHidden/>
              </w:rPr>
              <w:t>4</w:t>
            </w:r>
            <w:r>
              <w:rPr>
                <w:noProof/>
                <w:webHidden/>
              </w:rPr>
              <w:fldChar w:fldCharType="end"/>
            </w:r>
          </w:hyperlink>
        </w:p>
        <w:p w14:paraId="700F546A" w14:textId="7FEDC2AB" w:rsidR="00500FE4" w:rsidRDefault="00500FE4">
          <w:pPr>
            <w:pStyle w:val="TOC2"/>
            <w:tabs>
              <w:tab w:val="left" w:pos="660"/>
              <w:tab w:val="right" w:pos="9742"/>
            </w:tabs>
            <w:rPr>
              <w:rFonts w:asciiTheme="minorHAnsi" w:eastAsiaTheme="minorEastAsia" w:hAnsiTheme="minorHAnsi" w:cstheme="minorBidi"/>
              <w:noProof/>
              <w:lang w:val="en-MY" w:eastAsia="zh-CN"/>
            </w:rPr>
          </w:pPr>
          <w:hyperlink w:anchor="_Toc62221375" w:history="1">
            <w:r w:rsidRPr="00031C90">
              <w:rPr>
                <w:rStyle w:val="Hyperlink"/>
                <w:noProof/>
              </w:rPr>
              <w:t>C.</w:t>
            </w:r>
            <w:r>
              <w:rPr>
                <w:rFonts w:asciiTheme="minorHAnsi" w:eastAsiaTheme="minorEastAsia" w:hAnsiTheme="minorHAnsi" w:cstheme="minorBidi"/>
                <w:noProof/>
                <w:lang w:val="en-MY" w:eastAsia="zh-CN"/>
              </w:rPr>
              <w:tab/>
            </w:r>
            <w:r w:rsidRPr="00031C90">
              <w:rPr>
                <w:rStyle w:val="Hyperlink"/>
                <w:noProof/>
              </w:rPr>
              <w:t>Important policy directions</w:t>
            </w:r>
            <w:r>
              <w:rPr>
                <w:noProof/>
                <w:webHidden/>
              </w:rPr>
              <w:tab/>
            </w:r>
            <w:r>
              <w:rPr>
                <w:noProof/>
                <w:webHidden/>
              </w:rPr>
              <w:fldChar w:fldCharType="begin"/>
            </w:r>
            <w:r>
              <w:rPr>
                <w:noProof/>
                <w:webHidden/>
              </w:rPr>
              <w:instrText xml:space="preserve"> PAGEREF _Toc62221375 \h </w:instrText>
            </w:r>
            <w:r>
              <w:rPr>
                <w:noProof/>
                <w:webHidden/>
              </w:rPr>
            </w:r>
            <w:r>
              <w:rPr>
                <w:noProof/>
                <w:webHidden/>
              </w:rPr>
              <w:fldChar w:fldCharType="separate"/>
            </w:r>
            <w:r>
              <w:rPr>
                <w:noProof/>
                <w:webHidden/>
              </w:rPr>
              <w:t>5</w:t>
            </w:r>
            <w:r>
              <w:rPr>
                <w:noProof/>
                <w:webHidden/>
              </w:rPr>
              <w:fldChar w:fldCharType="end"/>
            </w:r>
          </w:hyperlink>
        </w:p>
        <w:p w14:paraId="17265B40" w14:textId="17071E90"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376" w:history="1">
            <w:r w:rsidRPr="00031C90">
              <w:rPr>
                <w:rStyle w:val="Hyperlink"/>
                <w:noProof/>
              </w:rPr>
              <w:t>2.</w:t>
            </w:r>
            <w:r>
              <w:rPr>
                <w:rFonts w:asciiTheme="minorHAnsi" w:eastAsiaTheme="minorEastAsia" w:hAnsiTheme="minorHAnsi" w:cstheme="minorBidi"/>
                <w:noProof/>
                <w:lang w:val="en-MY" w:eastAsia="zh-CN"/>
              </w:rPr>
              <w:tab/>
            </w:r>
            <w:r w:rsidRPr="00031C90">
              <w:rPr>
                <w:rStyle w:val="Hyperlink"/>
                <w:noProof/>
              </w:rPr>
              <w:t>Introduction</w:t>
            </w:r>
            <w:r>
              <w:rPr>
                <w:noProof/>
                <w:webHidden/>
              </w:rPr>
              <w:tab/>
            </w:r>
            <w:r>
              <w:rPr>
                <w:noProof/>
                <w:webHidden/>
              </w:rPr>
              <w:fldChar w:fldCharType="begin"/>
            </w:r>
            <w:r>
              <w:rPr>
                <w:noProof/>
                <w:webHidden/>
              </w:rPr>
              <w:instrText xml:space="preserve"> PAGEREF _Toc62221376 \h </w:instrText>
            </w:r>
            <w:r>
              <w:rPr>
                <w:noProof/>
                <w:webHidden/>
              </w:rPr>
            </w:r>
            <w:r>
              <w:rPr>
                <w:noProof/>
                <w:webHidden/>
              </w:rPr>
              <w:fldChar w:fldCharType="separate"/>
            </w:r>
            <w:r>
              <w:rPr>
                <w:noProof/>
                <w:webHidden/>
              </w:rPr>
              <w:t>8</w:t>
            </w:r>
            <w:r>
              <w:rPr>
                <w:noProof/>
                <w:webHidden/>
              </w:rPr>
              <w:fldChar w:fldCharType="end"/>
            </w:r>
          </w:hyperlink>
        </w:p>
        <w:p w14:paraId="358759BA" w14:textId="75EAF3DA"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77" w:history="1">
            <w:r w:rsidRPr="00031C90">
              <w:rPr>
                <w:rStyle w:val="Hyperlink"/>
                <w:noProof/>
              </w:rPr>
              <w:t>2.1.</w:t>
            </w:r>
            <w:r>
              <w:rPr>
                <w:rFonts w:asciiTheme="minorHAnsi" w:eastAsiaTheme="minorEastAsia" w:hAnsiTheme="minorHAnsi" w:cstheme="minorBidi"/>
                <w:noProof/>
                <w:lang w:val="en-MY" w:eastAsia="zh-CN"/>
              </w:rPr>
              <w:tab/>
            </w:r>
            <w:r w:rsidRPr="00031C90">
              <w:rPr>
                <w:rStyle w:val="Hyperlink"/>
                <w:noProof/>
              </w:rPr>
              <w:t>Background</w:t>
            </w:r>
            <w:r>
              <w:rPr>
                <w:noProof/>
                <w:webHidden/>
              </w:rPr>
              <w:tab/>
            </w:r>
            <w:r>
              <w:rPr>
                <w:noProof/>
                <w:webHidden/>
              </w:rPr>
              <w:fldChar w:fldCharType="begin"/>
            </w:r>
            <w:r>
              <w:rPr>
                <w:noProof/>
                <w:webHidden/>
              </w:rPr>
              <w:instrText xml:space="preserve"> PAGEREF _Toc62221377 \h </w:instrText>
            </w:r>
            <w:r>
              <w:rPr>
                <w:noProof/>
                <w:webHidden/>
              </w:rPr>
            </w:r>
            <w:r>
              <w:rPr>
                <w:noProof/>
                <w:webHidden/>
              </w:rPr>
              <w:fldChar w:fldCharType="separate"/>
            </w:r>
            <w:r>
              <w:rPr>
                <w:noProof/>
                <w:webHidden/>
              </w:rPr>
              <w:t>8</w:t>
            </w:r>
            <w:r>
              <w:rPr>
                <w:noProof/>
                <w:webHidden/>
              </w:rPr>
              <w:fldChar w:fldCharType="end"/>
            </w:r>
          </w:hyperlink>
        </w:p>
        <w:p w14:paraId="248A063F" w14:textId="77BBA65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78" w:history="1">
            <w:r w:rsidRPr="00031C90">
              <w:rPr>
                <w:rStyle w:val="Hyperlink"/>
                <w:noProof/>
              </w:rPr>
              <w:t>2.2.</w:t>
            </w:r>
            <w:r>
              <w:rPr>
                <w:rFonts w:asciiTheme="minorHAnsi" w:eastAsiaTheme="minorEastAsia" w:hAnsiTheme="minorHAnsi" w:cstheme="minorBidi"/>
                <w:noProof/>
                <w:lang w:val="en-MY" w:eastAsia="zh-CN"/>
              </w:rPr>
              <w:tab/>
            </w:r>
            <w:r w:rsidRPr="00031C90">
              <w:rPr>
                <w:rStyle w:val="Hyperlink"/>
                <w:noProof/>
              </w:rPr>
              <w:t>SDG 7 targets and indicators</w:t>
            </w:r>
            <w:r>
              <w:rPr>
                <w:noProof/>
                <w:webHidden/>
              </w:rPr>
              <w:tab/>
            </w:r>
            <w:r>
              <w:rPr>
                <w:noProof/>
                <w:webHidden/>
              </w:rPr>
              <w:fldChar w:fldCharType="begin"/>
            </w:r>
            <w:r>
              <w:rPr>
                <w:noProof/>
                <w:webHidden/>
              </w:rPr>
              <w:instrText xml:space="preserve"> PAGEREF _Toc62221378 \h </w:instrText>
            </w:r>
            <w:r>
              <w:rPr>
                <w:noProof/>
                <w:webHidden/>
              </w:rPr>
            </w:r>
            <w:r>
              <w:rPr>
                <w:noProof/>
                <w:webHidden/>
              </w:rPr>
              <w:fldChar w:fldCharType="separate"/>
            </w:r>
            <w:r>
              <w:rPr>
                <w:noProof/>
                <w:webHidden/>
              </w:rPr>
              <w:t>8</w:t>
            </w:r>
            <w:r>
              <w:rPr>
                <w:noProof/>
                <w:webHidden/>
              </w:rPr>
              <w:fldChar w:fldCharType="end"/>
            </w:r>
          </w:hyperlink>
        </w:p>
        <w:p w14:paraId="5E1E51E9" w14:textId="76E00EDD"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79" w:history="1">
            <w:r w:rsidRPr="00031C90">
              <w:rPr>
                <w:rStyle w:val="Hyperlink"/>
                <w:noProof/>
              </w:rPr>
              <w:t>2.3.</w:t>
            </w:r>
            <w:r>
              <w:rPr>
                <w:rFonts w:asciiTheme="minorHAnsi" w:eastAsiaTheme="minorEastAsia" w:hAnsiTheme="minorHAnsi" w:cstheme="minorBidi"/>
                <w:noProof/>
                <w:lang w:val="en-MY" w:eastAsia="zh-CN"/>
              </w:rPr>
              <w:tab/>
            </w:r>
            <w:r w:rsidRPr="00031C90">
              <w:rPr>
                <w:rStyle w:val="Hyperlink"/>
                <w:noProof/>
              </w:rPr>
              <w:t>Nationally Determined Contributions</w:t>
            </w:r>
            <w:r>
              <w:rPr>
                <w:noProof/>
                <w:webHidden/>
              </w:rPr>
              <w:tab/>
            </w:r>
            <w:r>
              <w:rPr>
                <w:noProof/>
                <w:webHidden/>
              </w:rPr>
              <w:fldChar w:fldCharType="begin"/>
            </w:r>
            <w:r>
              <w:rPr>
                <w:noProof/>
                <w:webHidden/>
              </w:rPr>
              <w:instrText xml:space="preserve"> PAGEREF _Toc62221379 \h </w:instrText>
            </w:r>
            <w:r>
              <w:rPr>
                <w:noProof/>
                <w:webHidden/>
              </w:rPr>
            </w:r>
            <w:r>
              <w:rPr>
                <w:noProof/>
                <w:webHidden/>
              </w:rPr>
              <w:fldChar w:fldCharType="separate"/>
            </w:r>
            <w:r>
              <w:rPr>
                <w:noProof/>
                <w:webHidden/>
              </w:rPr>
              <w:t>9</w:t>
            </w:r>
            <w:r>
              <w:rPr>
                <w:noProof/>
                <w:webHidden/>
              </w:rPr>
              <w:fldChar w:fldCharType="end"/>
            </w:r>
          </w:hyperlink>
        </w:p>
        <w:p w14:paraId="4C394C3C" w14:textId="32782BD8"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380" w:history="1">
            <w:r w:rsidRPr="00031C90">
              <w:rPr>
                <w:rStyle w:val="Hyperlink"/>
                <w:noProof/>
              </w:rPr>
              <w:t>3.</w:t>
            </w:r>
            <w:r>
              <w:rPr>
                <w:rFonts w:asciiTheme="minorHAnsi" w:eastAsiaTheme="minorEastAsia" w:hAnsiTheme="minorHAnsi" w:cstheme="minorBidi"/>
                <w:noProof/>
                <w:lang w:val="en-MY" w:eastAsia="zh-CN"/>
              </w:rPr>
              <w:tab/>
            </w:r>
            <w:r w:rsidRPr="00031C90">
              <w:rPr>
                <w:rStyle w:val="Hyperlink"/>
                <w:noProof/>
              </w:rPr>
              <w:t>NEXSTEP methodology</w:t>
            </w:r>
            <w:r>
              <w:rPr>
                <w:noProof/>
                <w:webHidden/>
              </w:rPr>
              <w:tab/>
            </w:r>
            <w:r>
              <w:rPr>
                <w:noProof/>
                <w:webHidden/>
              </w:rPr>
              <w:fldChar w:fldCharType="begin"/>
            </w:r>
            <w:r>
              <w:rPr>
                <w:noProof/>
                <w:webHidden/>
              </w:rPr>
              <w:instrText xml:space="preserve"> PAGEREF _Toc62221380 \h </w:instrText>
            </w:r>
            <w:r>
              <w:rPr>
                <w:noProof/>
                <w:webHidden/>
              </w:rPr>
            </w:r>
            <w:r>
              <w:rPr>
                <w:noProof/>
                <w:webHidden/>
              </w:rPr>
              <w:fldChar w:fldCharType="separate"/>
            </w:r>
            <w:r>
              <w:rPr>
                <w:noProof/>
                <w:webHidden/>
              </w:rPr>
              <w:t>10</w:t>
            </w:r>
            <w:r>
              <w:rPr>
                <w:noProof/>
                <w:webHidden/>
              </w:rPr>
              <w:fldChar w:fldCharType="end"/>
            </w:r>
          </w:hyperlink>
        </w:p>
        <w:p w14:paraId="4D2E658D" w14:textId="7CCD9928"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81" w:history="1">
            <w:r w:rsidRPr="00031C90">
              <w:rPr>
                <w:rStyle w:val="Hyperlink"/>
                <w:noProof/>
              </w:rPr>
              <w:t>3.1.</w:t>
            </w:r>
            <w:r>
              <w:rPr>
                <w:rFonts w:asciiTheme="minorHAnsi" w:eastAsiaTheme="minorEastAsia" w:hAnsiTheme="minorHAnsi" w:cstheme="minorBidi"/>
                <w:noProof/>
                <w:lang w:val="en-MY" w:eastAsia="zh-CN"/>
              </w:rPr>
              <w:tab/>
            </w:r>
            <w:r w:rsidRPr="00031C90">
              <w:rPr>
                <w:rStyle w:val="Hyperlink"/>
                <w:noProof/>
              </w:rPr>
              <w:t>Key methodological steps</w:t>
            </w:r>
            <w:r>
              <w:rPr>
                <w:noProof/>
                <w:webHidden/>
              </w:rPr>
              <w:tab/>
            </w:r>
            <w:r>
              <w:rPr>
                <w:noProof/>
                <w:webHidden/>
              </w:rPr>
              <w:fldChar w:fldCharType="begin"/>
            </w:r>
            <w:r>
              <w:rPr>
                <w:noProof/>
                <w:webHidden/>
              </w:rPr>
              <w:instrText xml:space="preserve"> PAGEREF _Toc62221381 \h </w:instrText>
            </w:r>
            <w:r>
              <w:rPr>
                <w:noProof/>
                <w:webHidden/>
              </w:rPr>
            </w:r>
            <w:r>
              <w:rPr>
                <w:noProof/>
                <w:webHidden/>
              </w:rPr>
              <w:fldChar w:fldCharType="separate"/>
            </w:r>
            <w:r>
              <w:rPr>
                <w:noProof/>
                <w:webHidden/>
              </w:rPr>
              <w:t>10</w:t>
            </w:r>
            <w:r>
              <w:rPr>
                <w:noProof/>
                <w:webHidden/>
              </w:rPr>
              <w:fldChar w:fldCharType="end"/>
            </w:r>
          </w:hyperlink>
        </w:p>
        <w:p w14:paraId="07FA9E34" w14:textId="1DC1848C"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82" w:history="1">
            <w:r w:rsidRPr="00031C90">
              <w:rPr>
                <w:rStyle w:val="Hyperlink"/>
                <w:noProof/>
              </w:rPr>
              <w:t>(a)</w:t>
            </w:r>
            <w:r>
              <w:rPr>
                <w:rFonts w:asciiTheme="minorHAnsi" w:eastAsiaTheme="minorEastAsia" w:hAnsiTheme="minorHAnsi" w:cstheme="minorBidi"/>
                <w:noProof/>
                <w:lang w:val="en-MY" w:eastAsia="zh-CN"/>
              </w:rPr>
              <w:tab/>
            </w:r>
            <w:r w:rsidRPr="00031C90">
              <w:rPr>
                <w:rStyle w:val="Hyperlink"/>
                <w:noProof/>
              </w:rPr>
              <w:t>Energy and emissions modelling</w:t>
            </w:r>
            <w:r>
              <w:rPr>
                <w:noProof/>
                <w:webHidden/>
              </w:rPr>
              <w:tab/>
            </w:r>
            <w:r>
              <w:rPr>
                <w:noProof/>
                <w:webHidden/>
              </w:rPr>
              <w:fldChar w:fldCharType="begin"/>
            </w:r>
            <w:r>
              <w:rPr>
                <w:noProof/>
                <w:webHidden/>
              </w:rPr>
              <w:instrText xml:space="preserve"> PAGEREF _Toc62221382 \h </w:instrText>
            </w:r>
            <w:r>
              <w:rPr>
                <w:noProof/>
                <w:webHidden/>
              </w:rPr>
            </w:r>
            <w:r>
              <w:rPr>
                <w:noProof/>
                <w:webHidden/>
              </w:rPr>
              <w:fldChar w:fldCharType="separate"/>
            </w:r>
            <w:r>
              <w:rPr>
                <w:noProof/>
                <w:webHidden/>
              </w:rPr>
              <w:t>10</w:t>
            </w:r>
            <w:r>
              <w:rPr>
                <w:noProof/>
                <w:webHidden/>
              </w:rPr>
              <w:fldChar w:fldCharType="end"/>
            </w:r>
          </w:hyperlink>
        </w:p>
        <w:p w14:paraId="3493EB69" w14:textId="3744295A"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83" w:history="1">
            <w:r w:rsidRPr="00031C90">
              <w:rPr>
                <w:rStyle w:val="Hyperlink"/>
                <w:noProof/>
              </w:rPr>
              <w:t>(b)</w:t>
            </w:r>
            <w:r>
              <w:rPr>
                <w:rFonts w:asciiTheme="minorHAnsi" w:eastAsiaTheme="minorEastAsia" w:hAnsiTheme="minorHAnsi" w:cstheme="minorBidi"/>
                <w:noProof/>
                <w:lang w:val="en-MY" w:eastAsia="zh-CN"/>
              </w:rPr>
              <w:tab/>
            </w:r>
            <w:r w:rsidRPr="00031C90">
              <w:rPr>
                <w:rStyle w:val="Hyperlink"/>
                <w:noProof/>
              </w:rPr>
              <w:t>Economic analysis module</w:t>
            </w:r>
            <w:r>
              <w:rPr>
                <w:noProof/>
                <w:webHidden/>
              </w:rPr>
              <w:tab/>
            </w:r>
            <w:r>
              <w:rPr>
                <w:noProof/>
                <w:webHidden/>
              </w:rPr>
              <w:fldChar w:fldCharType="begin"/>
            </w:r>
            <w:r>
              <w:rPr>
                <w:noProof/>
                <w:webHidden/>
              </w:rPr>
              <w:instrText xml:space="preserve"> PAGEREF _Toc62221383 \h </w:instrText>
            </w:r>
            <w:r>
              <w:rPr>
                <w:noProof/>
                <w:webHidden/>
              </w:rPr>
            </w:r>
            <w:r>
              <w:rPr>
                <w:noProof/>
                <w:webHidden/>
              </w:rPr>
              <w:fldChar w:fldCharType="separate"/>
            </w:r>
            <w:r>
              <w:rPr>
                <w:noProof/>
                <w:webHidden/>
              </w:rPr>
              <w:t>10</w:t>
            </w:r>
            <w:r>
              <w:rPr>
                <w:noProof/>
                <w:webHidden/>
              </w:rPr>
              <w:fldChar w:fldCharType="end"/>
            </w:r>
          </w:hyperlink>
        </w:p>
        <w:p w14:paraId="29BAEFAA" w14:textId="50AB2535"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84" w:history="1">
            <w:r w:rsidRPr="00031C90">
              <w:rPr>
                <w:rStyle w:val="Hyperlink"/>
                <w:noProof/>
              </w:rPr>
              <w:t>(c)</w:t>
            </w:r>
            <w:r>
              <w:rPr>
                <w:rFonts w:asciiTheme="minorHAnsi" w:eastAsiaTheme="minorEastAsia" w:hAnsiTheme="minorHAnsi" w:cstheme="minorBidi"/>
                <w:noProof/>
                <w:lang w:val="en-MY" w:eastAsia="zh-CN"/>
              </w:rPr>
              <w:tab/>
            </w:r>
            <w:r w:rsidRPr="00031C90">
              <w:rPr>
                <w:rStyle w:val="Hyperlink"/>
                <w:noProof/>
              </w:rPr>
              <w:t>Scenario and policy analysis</w:t>
            </w:r>
            <w:r>
              <w:rPr>
                <w:noProof/>
                <w:webHidden/>
              </w:rPr>
              <w:tab/>
            </w:r>
            <w:r>
              <w:rPr>
                <w:noProof/>
                <w:webHidden/>
              </w:rPr>
              <w:fldChar w:fldCharType="begin"/>
            </w:r>
            <w:r>
              <w:rPr>
                <w:noProof/>
                <w:webHidden/>
              </w:rPr>
              <w:instrText xml:space="preserve"> PAGEREF _Toc62221384 \h </w:instrText>
            </w:r>
            <w:r>
              <w:rPr>
                <w:noProof/>
                <w:webHidden/>
              </w:rPr>
            </w:r>
            <w:r>
              <w:rPr>
                <w:noProof/>
                <w:webHidden/>
              </w:rPr>
              <w:fldChar w:fldCharType="separate"/>
            </w:r>
            <w:r>
              <w:rPr>
                <w:noProof/>
                <w:webHidden/>
              </w:rPr>
              <w:t>10</w:t>
            </w:r>
            <w:r>
              <w:rPr>
                <w:noProof/>
                <w:webHidden/>
              </w:rPr>
              <w:fldChar w:fldCharType="end"/>
            </w:r>
          </w:hyperlink>
        </w:p>
        <w:p w14:paraId="03892268" w14:textId="3AF3793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85" w:history="1">
            <w:r w:rsidRPr="00031C90">
              <w:rPr>
                <w:rStyle w:val="Hyperlink"/>
                <w:noProof/>
              </w:rPr>
              <w:t>3.2.</w:t>
            </w:r>
            <w:r>
              <w:rPr>
                <w:rFonts w:asciiTheme="minorHAnsi" w:eastAsiaTheme="minorEastAsia" w:hAnsiTheme="minorHAnsi" w:cstheme="minorBidi"/>
                <w:noProof/>
                <w:lang w:val="en-MY" w:eastAsia="zh-CN"/>
              </w:rPr>
              <w:tab/>
            </w:r>
            <w:r w:rsidRPr="00031C90">
              <w:rPr>
                <w:rStyle w:val="Hyperlink"/>
                <w:noProof/>
              </w:rPr>
              <w:t>Scenario definitions</w:t>
            </w:r>
            <w:r>
              <w:rPr>
                <w:noProof/>
                <w:webHidden/>
              </w:rPr>
              <w:tab/>
            </w:r>
            <w:r>
              <w:rPr>
                <w:noProof/>
                <w:webHidden/>
              </w:rPr>
              <w:fldChar w:fldCharType="begin"/>
            </w:r>
            <w:r>
              <w:rPr>
                <w:noProof/>
                <w:webHidden/>
              </w:rPr>
              <w:instrText xml:space="preserve"> PAGEREF _Toc62221385 \h </w:instrText>
            </w:r>
            <w:r>
              <w:rPr>
                <w:noProof/>
                <w:webHidden/>
              </w:rPr>
            </w:r>
            <w:r>
              <w:rPr>
                <w:noProof/>
                <w:webHidden/>
              </w:rPr>
              <w:fldChar w:fldCharType="separate"/>
            </w:r>
            <w:r>
              <w:rPr>
                <w:noProof/>
                <w:webHidden/>
              </w:rPr>
              <w:t>11</w:t>
            </w:r>
            <w:r>
              <w:rPr>
                <w:noProof/>
                <w:webHidden/>
              </w:rPr>
              <w:fldChar w:fldCharType="end"/>
            </w:r>
          </w:hyperlink>
        </w:p>
        <w:p w14:paraId="3EF9947F" w14:textId="599F28D6"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86" w:history="1">
            <w:r w:rsidRPr="00031C90">
              <w:rPr>
                <w:rStyle w:val="Hyperlink"/>
                <w:noProof/>
              </w:rPr>
              <w:t>(a)</w:t>
            </w:r>
            <w:r>
              <w:rPr>
                <w:rFonts w:asciiTheme="minorHAnsi" w:eastAsiaTheme="minorEastAsia" w:hAnsiTheme="minorHAnsi" w:cstheme="minorBidi"/>
                <w:noProof/>
                <w:lang w:val="en-MY" w:eastAsia="zh-CN"/>
              </w:rPr>
              <w:tab/>
            </w:r>
            <w:r w:rsidRPr="00031C90">
              <w:rPr>
                <w:rStyle w:val="Hyperlink"/>
                <w:noProof/>
              </w:rPr>
              <w:t>The BAU scenario:</w:t>
            </w:r>
            <w:r>
              <w:rPr>
                <w:noProof/>
                <w:webHidden/>
              </w:rPr>
              <w:tab/>
            </w:r>
            <w:r>
              <w:rPr>
                <w:noProof/>
                <w:webHidden/>
              </w:rPr>
              <w:fldChar w:fldCharType="begin"/>
            </w:r>
            <w:r>
              <w:rPr>
                <w:noProof/>
                <w:webHidden/>
              </w:rPr>
              <w:instrText xml:space="preserve"> PAGEREF _Toc62221386 \h </w:instrText>
            </w:r>
            <w:r>
              <w:rPr>
                <w:noProof/>
                <w:webHidden/>
              </w:rPr>
            </w:r>
            <w:r>
              <w:rPr>
                <w:noProof/>
                <w:webHidden/>
              </w:rPr>
              <w:fldChar w:fldCharType="separate"/>
            </w:r>
            <w:r>
              <w:rPr>
                <w:noProof/>
                <w:webHidden/>
              </w:rPr>
              <w:t>11</w:t>
            </w:r>
            <w:r>
              <w:rPr>
                <w:noProof/>
                <w:webHidden/>
              </w:rPr>
              <w:fldChar w:fldCharType="end"/>
            </w:r>
          </w:hyperlink>
        </w:p>
        <w:p w14:paraId="07C2A621" w14:textId="6BDD419B"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87" w:history="1">
            <w:r w:rsidRPr="00031C90">
              <w:rPr>
                <w:rStyle w:val="Hyperlink"/>
                <w:noProof/>
              </w:rPr>
              <w:t>(b)</w:t>
            </w:r>
            <w:r>
              <w:rPr>
                <w:rFonts w:asciiTheme="minorHAnsi" w:eastAsiaTheme="minorEastAsia" w:hAnsiTheme="minorHAnsi" w:cstheme="minorBidi"/>
                <w:noProof/>
                <w:lang w:val="en-MY" w:eastAsia="zh-CN"/>
              </w:rPr>
              <w:tab/>
            </w:r>
            <w:r w:rsidRPr="00031C90">
              <w:rPr>
                <w:rStyle w:val="Hyperlink"/>
                <w:noProof/>
              </w:rPr>
              <w:t>Current policies scenario:</w:t>
            </w:r>
            <w:r>
              <w:rPr>
                <w:noProof/>
                <w:webHidden/>
              </w:rPr>
              <w:tab/>
            </w:r>
            <w:r>
              <w:rPr>
                <w:noProof/>
                <w:webHidden/>
              </w:rPr>
              <w:fldChar w:fldCharType="begin"/>
            </w:r>
            <w:r>
              <w:rPr>
                <w:noProof/>
                <w:webHidden/>
              </w:rPr>
              <w:instrText xml:space="preserve"> PAGEREF _Toc62221387 \h </w:instrText>
            </w:r>
            <w:r>
              <w:rPr>
                <w:noProof/>
                <w:webHidden/>
              </w:rPr>
            </w:r>
            <w:r>
              <w:rPr>
                <w:noProof/>
                <w:webHidden/>
              </w:rPr>
              <w:fldChar w:fldCharType="separate"/>
            </w:r>
            <w:r>
              <w:rPr>
                <w:noProof/>
                <w:webHidden/>
              </w:rPr>
              <w:t>11</w:t>
            </w:r>
            <w:r>
              <w:rPr>
                <w:noProof/>
                <w:webHidden/>
              </w:rPr>
              <w:fldChar w:fldCharType="end"/>
            </w:r>
          </w:hyperlink>
        </w:p>
        <w:p w14:paraId="516BF93C" w14:textId="1D775096"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88" w:history="1">
            <w:r w:rsidRPr="00031C90">
              <w:rPr>
                <w:rStyle w:val="Hyperlink"/>
                <w:noProof/>
              </w:rPr>
              <w:t>(c)</w:t>
            </w:r>
            <w:r>
              <w:rPr>
                <w:rFonts w:asciiTheme="minorHAnsi" w:eastAsiaTheme="minorEastAsia" w:hAnsiTheme="minorHAnsi" w:cstheme="minorBidi"/>
                <w:noProof/>
                <w:lang w:val="en-MY" w:eastAsia="zh-CN"/>
              </w:rPr>
              <w:tab/>
            </w:r>
            <w:r w:rsidRPr="00031C90">
              <w:rPr>
                <w:rStyle w:val="Hyperlink"/>
                <w:noProof/>
              </w:rPr>
              <w:t>SDG 7 scenario:</w:t>
            </w:r>
            <w:r>
              <w:rPr>
                <w:noProof/>
                <w:webHidden/>
              </w:rPr>
              <w:tab/>
            </w:r>
            <w:r>
              <w:rPr>
                <w:noProof/>
                <w:webHidden/>
              </w:rPr>
              <w:fldChar w:fldCharType="begin"/>
            </w:r>
            <w:r>
              <w:rPr>
                <w:noProof/>
                <w:webHidden/>
              </w:rPr>
              <w:instrText xml:space="preserve"> PAGEREF _Toc62221388 \h </w:instrText>
            </w:r>
            <w:r>
              <w:rPr>
                <w:noProof/>
                <w:webHidden/>
              </w:rPr>
            </w:r>
            <w:r>
              <w:rPr>
                <w:noProof/>
                <w:webHidden/>
              </w:rPr>
              <w:fldChar w:fldCharType="separate"/>
            </w:r>
            <w:r>
              <w:rPr>
                <w:noProof/>
                <w:webHidden/>
              </w:rPr>
              <w:t>11</w:t>
            </w:r>
            <w:r>
              <w:rPr>
                <w:noProof/>
                <w:webHidden/>
              </w:rPr>
              <w:fldChar w:fldCharType="end"/>
            </w:r>
          </w:hyperlink>
        </w:p>
        <w:p w14:paraId="364543F2" w14:textId="59D81C96"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89" w:history="1">
            <w:r w:rsidRPr="00031C90">
              <w:rPr>
                <w:rStyle w:val="Hyperlink"/>
                <w:noProof/>
              </w:rPr>
              <w:t>3.3.</w:t>
            </w:r>
            <w:r>
              <w:rPr>
                <w:rFonts w:asciiTheme="minorHAnsi" w:eastAsiaTheme="minorEastAsia" w:hAnsiTheme="minorHAnsi" w:cstheme="minorBidi"/>
                <w:noProof/>
                <w:lang w:val="en-MY" w:eastAsia="zh-CN"/>
              </w:rPr>
              <w:tab/>
            </w:r>
            <w:r w:rsidRPr="00031C90">
              <w:rPr>
                <w:rStyle w:val="Hyperlink"/>
                <w:noProof/>
              </w:rPr>
              <w:t>Economic analysis</w:t>
            </w:r>
            <w:r>
              <w:rPr>
                <w:noProof/>
                <w:webHidden/>
              </w:rPr>
              <w:tab/>
            </w:r>
            <w:r>
              <w:rPr>
                <w:noProof/>
                <w:webHidden/>
              </w:rPr>
              <w:fldChar w:fldCharType="begin"/>
            </w:r>
            <w:r>
              <w:rPr>
                <w:noProof/>
                <w:webHidden/>
              </w:rPr>
              <w:instrText xml:space="preserve"> PAGEREF _Toc62221389 \h </w:instrText>
            </w:r>
            <w:r>
              <w:rPr>
                <w:noProof/>
                <w:webHidden/>
              </w:rPr>
            </w:r>
            <w:r>
              <w:rPr>
                <w:noProof/>
                <w:webHidden/>
              </w:rPr>
              <w:fldChar w:fldCharType="separate"/>
            </w:r>
            <w:r>
              <w:rPr>
                <w:noProof/>
                <w:webHidden/>
              </w:rPr>
              <w:t>12</w:t>
            </w:r>
            <w:r>
              <w:rPr>
                <w:noProof/>
                <w:webHidden/>
              </w:rPr>
              <w:fldChar w:fldCharType="end"/>
            </w:r>
          </w:hyperlink>
        </w:p>
        <w:p w14:paraId="1A4C69E4" w14:textId="0AAA9C6C"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0" w:history="1">
            <w:r w:rsidRPr="00031C90">
              <w:rPr>
                <w:rStyle w:val="Hyperlink"/>
                <w:noProof/>
              </w:rPr>
              <w:t>3.4.</w:t>
            </w:r>
            <w:r>
              <w:rPr>
                <w:rFonts w:asciiTheme="minorHAnsi" w:eastAsiaTheme="minorEastAsia" w:hAnsiTheme="minorHAnsi" w:cstheme="minorBidi"/>
                <w:noProof/>
                <w:lang w:val="en-MY" w:eastAsia="zh-CN"/>
              </w:rPr>
              <w:tab/>
            </w:r>
            <w:r w:rsidRPr="00031C90">
              <w:rPr>
                <w:rStyle w:val="Hyperlink"/>
                <w:noProof/>
              </w:rPr>
              <w:t>Basics of economic analysis</w:t>
            </w:r>
            <w:r>
              <w:rPr>
                <w:noProof/>
                <w:webHidden/>
              </w:rPr>
              <w:tab/>
            </w:r>
            <w:r>
              <w:rPr>
                <w:noProof/>
                <w:webHidden/>
              </w:rPr>
              <w:fldChar w:fldCharType="begin"/>
            </w:r>
            <w:r>
              <w:rPr>
                <w:noProof/>
                <w:webHidden/>
              </w:rPr>
              <w:instrText xml:space="preserve"> PAGEREF _Toc62221390 \h </w:instrText>
            </w:r>
            <w:r>
              <w:rPr>
                <w:noProof/>
                <w:webHidden/>
              </w:rPr>
            </w:r>
            <w:r>
              <w:rPr>
                <w:noProof/>
                <w:webHidden/>
              </w:rPr>
              <w:fldChar w:fldCharType="separate"/>
            </w:r>
            <w:r>
              <w:rPr>
                <w:noProof/>
                <w:webHidden/>
              </w:rPr>
              <w:t>12</w:t>
            </w:r>
            <w:r>
              <w:rPr>
                <w:noProof/>
                <w:webHidden/>
              </w:rPr>
              <w:fldChar w:fldCharType="end"/>
            </w:r>
          </w:hyperlink>
        </w:p>
        <w:p w14:paraId="0087148B" w14:textId="2F11AA58"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1" w:history="1">
            <w:r w:rsidRPr="00031C90">
              <w:rPr>
                <w:rStyle w:val="Hyperlink"/>
                <w:noProof/>
              </w:rPr>
              <w:t>3.5.</w:t>
            </w:r>
            <w:r>
              <w:rPr>
                <w:rFonts w:asciiTheme="minorHAnsi" w:eastAsiaTheme="minorEastAsia" w:hAnsiTheme="minorHAnsi" w:cstheme="minorBidi"/>
                <w:noProof/>
                <w:lang w:val="en-MY" w:eastAsia="zh-CN"/>
              </w:rPr>
              <w:tab/>
            </w:r>
            <w:r w:rsidRPr="00031C90">
              <w:rPr>
                <w:rStyle w:val="Hyperlink"/>
                <w:noProof/>
              </w:rPr>
              <w:t>Cost parameters</w:t>
            </w:r>
            <w:r>
              <w:rPr>
                <w:noProof/>
                <w:webHidden/>
              </w:rPr>
              <w:tab/>
            </w:r>
            <w:r>
              <w:rPr>
                <w:noProof/>
                <w:webHidden/>
              </w:rPr>
              <w:fldChar w:fldCharType="begin"/>
            </w:r>
            <w:r>
              <w:rPr>
                <w:noProof/>
                <w:webHidden/>
              </w:rPr>
              <w:instrText xml:space="preserve"> PAGEREF _Toc62221391 \h </w:instrText>
            </w:r>
            <w:r>
              <w:rPr>
                <w:noProof/>
                <w:webHidden/>
              </w:rPr>
            </w:r>
            <w:r>
              <w:rPr>
                <w:noProof/>
                <w:webHidden/>
              </w:rPr>
              <w:fldChar w:fldCharType="separate"/>
            </w:r>
            <w:r>
              <w:rPr>
                <w:noProof/>
                <w:webHidden/>
              </w:rPr>
              <w:t>12</w:t>
            </w:r>
            <w:r>
              <w:rPr>
                <w:noProof/>
                <w:webHidden/>
              </w:rPr>
              <w:fldChar w:fldCharType="end"/>
            </w:r>
          </w:hyperlink>
        </w:p>
        <w:p w14:paraId="592BBB43" w14:textId="13EF5C6C"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392" w:history="1">
            <w:r w:rsidRPr="00031C90">
              <w:rPr>
                <w:rStyle w:val="Hyperlink"/>
                <w:noProof/>
              </w:rPr>
              <w:t>4.</w:t>
            </w:r>
            <w:r>
              <w:rPr>
                <w:rFonts w:asciiTheme="minorHAnsi" w:eastAsiaTheme="minorEastAsia" w:hAnsiTheme="minorHAnsi" w:cstheme="minorBidi"/>
                <w:noProof/>
                <w:lang w:val="en-MY" w:eastAsia="zh-CN"/>
              </w:rPr>
              <w:tab/>
            </w:r>
            <w:r w:rsidRPr="00031C90">
              <w:rPr>
                <w:rStyle w:val="Hyperlink"/>
                <w:noProof/>
              </w:rPr>
              <w:t>Overview of the Indonesia’s energy sector</w:t>
            </w:r>
            <w:r>
              <w:rPr>
                <w:noProof/>
                <w:webHidden/>
              </w:rPr>
              <w:tab/>
            </w:r>
            <w:r>
              <w:rPr>
                <w:noProof/>
                <w:webHidden/>
              </w:rPr>
              <w:fldChar w:fldCharType="begin"/>
            </w:r>
            <w:r>
              <w:rPr>
                <w:noProof/>
                <w:webHidden/>
              </w:rPr>
              <w:instrText xml:space="preserve"> PAGEREF _Toc62221392 \h </w:instrText>
            </w:r>
            <w:r>
              <w:rPr>
                <w:noProof/>
                <w:webHidden/>
              </w:rPr>
            </w:r>
            <w:r>
              <w:rPr>
                <w:noProof/>
                <w:webHidden/>
              </w:rPr>
              <w:fldChar w:fldCharType="separate"/>
            </w:r>
            <w:r>
              <w:rPr>
                <w:noProof/>
                <w:webHidden/>
              </w:rPr>
              <w:t>13</w:t>
            </w:r>
            <w:r>
              <w:rPr>
                <w:noProof/>
                <w:webHidden/>
              </w:rPr>
              <w:fldChar w:fldCharType="end"/>
            </w:r>
          </w:hyperlink>
        </w:p>
        <w:p w14:paraId="7DBBDDF7" w14:textId="2D42CFD8"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3" w:history="1">
            <w:r w:rsidRPr="00031C90">
              <w:rPr>
                <w:rStyle w:val="Hyperlink"/>
                <w:noProof/>
              </w:rPr>
              <w:t>4.1.</w:t>
            </w:r>
            <w:r>
              <w:rPr>
                <w:rFonts w:asciiTheme="minorHAnsi" w:eastAsiaTheme="minorEastAsia" w:hAnsiTheme="minorHAnsi" w:cstheme="minorBidi"/>
                <w:noProof/>
                <w:lang w:val="en-MY" w:eastAsia="zh-CN"/>
              </w:rPr>
              <w:tab/>
            </w:r>
            <w:r w:rsidRPr="00031C90">
              <w:rPr>
                <w:rStyle w:val="Hyperlink"/>
                <w:noProof/>
              </w:rPr>
              <w:t>Current situation</w:t>
            </w:r>
            <w:r>
              <w:rPr>
                <w:noProof/>
                <w:webHidden/>
              </w:rPr>
              <w:tab/>
            </w:r>
            <w:r>
              <w:rPr>
                <w:noProof/>
                <w:webHidden/>
              </w:rPr>
              <w:fldChar w:fldCharType="begin"/>
            </w:r>
            <w:r>
              <w:rPr>
                <w:noProof/>
                <w:webHidden/>
              </w:rPr>
              <w:instrText xml:space="preserve"> PAGEREF _Toc62221393 \h </w:instrText>
            </w:r>
            <w:r>
              <w:rPr>
                <w:noProof/>
                <w:webHidden/>
              </w:rPr>
            </w:r>
            <w:r>
              <w:rPr>
                <w:noProof/>
                <w:webHidden/>
              </w:rPr>
              <w:fldChar w:fldCharType="separate"/>
            </w:r>
            <w:r>
              <w:rPr>
                <w:noProof/>
                <w:webHidden/>
              </w:rPr>
              <w:t>13</w:t>
            </w:r>
            <w:r>
              <w:rPr>
                <w:noProof/>
                <w:webHidden/>
              </w:rPr>
              <w:fldChar w:fldCharType="end"/>
            </w:r>
          </w:hyperlink>
        </w:p>
        <w:p w14:paraId="2B3F563A" w14:textId="1335D715"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4" w:history="1">
            <w:r w:rsidRPr="00031C90">
              <w:rPr>
                <w:rStyle w:val="Hyperlink"/>
                <w:noProof/>
              </w:rPr>
              <w:t>4.2.</w:t>
            </w:r>
            <w:r>
              <w:rPr>
                <w:rFonts w:asciiTheme="minorHAnsi" w:eastAsiaTheme="minorEastAsia" w:hAnsiTheme="minorHAnsi" w:cstheme="minorBidi"/>
                <w:noProof/>
                <w:lang w:val="en-MY" w:eastAsia="zh-CN"/>
              </w:rPr>
              <w:tab/>
            </w:r>
            <w:r w:rsidRPr="00031C90">
              <w:rPr>
                <w:rStyle w:val="Hyperlink"/>
                <w:noProof/>
              </w:rPr>
              <w:t>National energy profile</w:t>
            </w:r>
            <w:r>
              <w:rPr>
                <w:noProof/>
                <w:webHidden/>
              </w:rPr>
              <w:tab/>
            </w:r>
            <w:r>
              <w:rPr>
                <w:noProof/>
                <w:webHidden/>
              </w:rPr>
              <w:fldChar w:fldCharType="begin"/>
            </w:r>
            <w:r>
              <w:rPr>
                <w:noProof/>
                <w:webHidden/>
              </w:rPr>
              <w:instrText xml:space="preserve"> PAGEREF _Toc62221394 \h </w:instrText>
            </w:r>
            <w:r>
              <w:rPr>
                <w:noProof/>
                <w:webHidden/>
              </w:rPr>
            </w:r>
            <w:r>
              <w:rPr>
                <w:noProof/>
                <w:webHidden/>
              </w:rPr>
              <w:fldChar w:fldCharType="separate"/>
            </w:r>
            <w:r>
              <w:rPr>
                <w:noProof/>
                <w:webHidden/>
              </w:rPr>
              <w:t>13</w:t>
            </w:r>
            <w:r>
              <w:rPr>
                <w:noProof/>
                <w:webHidden/>
              </w:rPr>
              <w:fldChar w:fldCharType="end"/>
            </w:r>
          </w:hyperlink>
        </w:p>
        <w:p w14:paraId="37DBAE89" w14:textId="0E661505"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5" w:history="1">
            <w:r w:rsidRPr="00031C90">
              <w:rPr>
                <w:rStyle w:val="Hyperlink"/>
                <w:noProof/>
              </w:rPr>
              <w:t>4.3.</w:t>
            </w:r>
            <w:r>
              <w:rPr>
                <w:rFonts w:asciiTheme="minorHAnsi" w:eastAsiaTheme="minorEastAsia" w:hAnsiTheme="minorHAnsi" w:cstheme="minorBidi"/>
                <w:noProof/>
                <w:lang w:val="en-MY" w:eastAsia="zh-CN"/>
              </w:rPr>
              <w:tab/>
            </w:r>
            <w:r w:rsidRPr="00031C90">
              <w:rPr>
                <w:rStyle w:val="Hyperlink"/>
                <w:noProof/>
              </w:rPr>
              <w:t>National energy policies and targets</w:t>
            </w:r>
            <w:r>
              <w:rPr>
                <w:noProof/>
                <w:webHidden/>
              </w:rPr>
              <w:tab/>
            </w:r>
            <w:r>
              <w:rPr>
                <w:noProof/>
                <w:webHidden/>
              </w:rPr>
              <w:fldChar w:fldCharType="begin"/>
            </w:r>
            <w:r>
              <w:rPr>
                <w:noProof/>
                <w:webHidden/>
              </w:rPr>
              <w:instrText xml:space="preserve"> PAGEREF _Toc62221395 \h </w:instrText>
            </w:r>
            <w:r>
              <w:rPr>
                <w:noProof/>
                <w:webHidden/>
              </w:rPr>
            </w:r>
            <w:r>
              <w:rPr>
                <w:noProof/>
                <w:webHidden/>
              </w:rPr>
              <w:fldChar w:fldCharType="separate"/>
            </w:r>
            <w:r>
              <w:rPr>
                <w:noProof/>
                <w:webHidden/>
              </w:rPr>
              <w:t>14</w:t>
            </w:r>
            <w:r>
              <w:rPr>
                <w:noProof/>
                <w:webHidden/>
              </w:rPr>
              <w:fldChar w:fldCharType="end"/>
            </w:r>
          </w:hyperlink>
        </w:p>
        <w:p w14:paraId="01C391D8" w14:textId="1EC3E8BC"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6" w:history="1">
            <w:r w:rsidRPr="00031C90">
              <w:rPr>
                <w:rStyle w:val="Hyperlink"/>
                <w:noProof/>
              </w:rPr>
              <w:t>4.4.</w:t>
            </w:r>
            <w:r>
              <w:rPr>
                <w:rFonts w:asciiTheme="minorHAnsi" w:eastAsiaTheme="minorEastAsia" w:hAnsiTheme="minorHAnsi" w:cstheme="minorBidi"/>
                <w:noProof/>
                <w:lang w:val="en-MY" w:eastAsia="zh-CN"/>
              </w:rPr>
              <w:tab/>
            </w:r>
            <w:r w:rsidRPr="00031C90">
              <w:rPr>
                <w:rStyle w:val="Hyperlink"/>
                <w:noProof/>
              </w:rPr>
              <w:t>National energy resources</w:t>
            </w:r>
            <w:r>
              <w:rPr>
                <w:noProof/>
                <w:webHidden/>
              </w:rPr>
              <w:tab/>
            </w:r>
            <w:r>
              <w:rPr>
                <w:noProof/>
                <w:webHidden/>
              </w:rPr>
              <w:fldChar w:fldCharType="begin"/>
            </w:r>
            <w:r>
              <w:rPr>
                <w:noProof/>
                <w:webHidden/>
              </w:rPr>
              <w:instrText xml:space="preserve"> PAGEREF _Toc62221396 \h </w:instrText>
            </w:r>
            <w:r>
              <w:rPr>
                <w:noProof/>
                <w:webHidden/>
              </w:rPr>
            </w:r>
            <w:r>
              <w:rPr>
                <w:noProof/>
                <w:webHidden/>
              </w:rPr>
              <w:fldChar w:fldCharType="separate"/>
            </w:r>
            <w:r>
              <w:rPr>
                <w:noProof/>
                <w:webHidden/>
              </w:rPr>
              <w:t>15</w:t>
            </w:r>
            <w:r>
              <w:rPr>
                <w:noProof/>
                <w:webHidden/>
              </w:rPr>
              <w:fldChar w:fldCharType="end"/>
            </w:r>
          </w:hyperlink>
        </w:p>
        <w:p w14:paraId="46BEB74D" w14:textId="778766DB"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7" w:history="1">
            <w:r w:rsidRPr="00031C90">
              <w:rPr>
                <w:rStyle w:val="Hyperlink"/>
                <w:noProof/>
              </w:rPr>
              <w:t>4.5.</w:t>
            </w:r>
            <w:r>
              <w:rPr>
                <w:rFonts w:asciiTheme="minorHAnsi" w:eastAsiaTheme="minorEastAsia" w:hAnsiTheme="minorHAnsi" w:cstheme="minorBidi"/>
                <w:noProof/>
                <w:lang w:val="en-MY" w:eastAsia="zh-CN"/>
              </w:rPr>
              <w:tab/>
            </w:r>
            <w:r w:rsidRPr="00031C90">
              <w:rPr>
                <w:rStyle w:val="Hyperlink"/>
                <w:noProof/>
              </w:rPr>
              <w:t>National energy balance</w:t>
            </w:r>
            <w:r>
              <w:rPr>
                <w:noProof/>
                <w:webHidden/>
              </w:rPr>
              <w:tab/>
            </w:r>
            <w:r>
              <w:rPr>
                <w:noProof/>
                <w:webHidden/>
              </w:rPr>
              <w:fldChar w:fldCharType="begin"/>
            </w:r>
            <w:r>
              <w:rPr>
                <w:noProof/>
                <w:webHidden/>
              </w:rPr>
              <w:instrText xml:space="preserve"> PAGEREF _Toc62221397 \h </w:instrText>
            </w:r>
            <w:r>
              <w:rPr>
                <w:noProof/>
                <w:webHidden/>
              </w:rPr>
            </w:r>
            <w:r>
              <w:rPr>
                <w:noProof/>
                <w:webHidden/>
              </w:rPr>
              <w:fldChar w:fldCharType="separate"/>
            </w:r>
            <w:r>
              <w:rPr>
                <w:noProof/>
                <w:webHidden/>
              </w:rPr>
              <w:t>16</w:t>
            </w:r>
            <w:r>
              <w:rPr>
                <w:noProof/>
                <w:webHidden/>
              </w:rPr>
              <w:fldChar w:fldCharType="end"/>
            </w:r>
          </w:hyperlink>
        </w:p>
        <w:p w14:paraId="1D8AE8C8" w14:textId="034E135E"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398" w:history="1">
            <w:r w:rsidRPr="00031C90">
              <w:rPr>
                <w:rStyle w:val="Hyperlink"/>
                <w:noProof/>
              </w:rPr>
              <w:t>4.6.</w:t>
            </w:r>
            <w:r>
              <w:rPr>
                <w:rFonts w:asciiTheme="minorHAnsi" w:eastAsiaTheme="minorEastAsia" w:hAnsiTheme="minorHAnsi" w:cstheme="minorBidi"/>
                <w:noProof/>
                <w:lang w:val="en-MY" w:eastAsia="zh-CN"/>
              </w:rPr>
              <w:tab/>
            </w:r>
            <w:r w:rsidRPr="00031C90">
              <w:rPr>
                <w:rStyle w:val="Hyperlink"/>
                <w:noProof/>
              </w:rPr>
              <w:t>Energy Demand Outlook</w:t>
            </w:r>
            <w:r>
              <w:rPr>
                <w:noProof/>
                <w:webHidden/>
              </w:rPr>
              <w:tab/>
            </w:r>
            <w:r>
              <w:rPr>
                <w:noProof/>
                <w:webHidden/>
              </w:rPr>
              <w:fldChar w:fldCharType="begin"/>
            </w:r>
            <w:r>
              <w:rPr>
                <w:noProof/>
                <w:webHidden/>
              </w:rPr>
              <w:instrText xml:space="preserve"> PAGEREF _Toc62221398 \h </w:instrText>
            </w:r>
            <w:r>
              <w:rPr>
                <w:noProof/>
                <w:webHidden/>
              </w:rPr>
            </w:r>
            <w:r>
              <w:rPr>
                <w:noProof/>
                <w:webHidden/>
              </w:rPr>
              <w:fldChar w:fldCharType="separate"/>
            </w:r>
            <w:r>
              <w:rPr>
                <w:noProof/>
                <w:webHidden/>
              </w:rPr>
              <w:t>17</w:t>
            </w:r>
            <w:r>
              <w:rPr>
                <w:noProof/>
                <w:webHidden/>
              </w:rPr>
              <w:fldChar w:fldCharType="end"/>
            </w:r>
          </w:hyperlink>
        </w:p>
        <w:p w14:paraId="75110909" w14:textId="141BA82D"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399" w:history="1">
            <w:r w:rsidRPr="00031C90">
              <w:rPr>
                <w:rStyle w:val="Hyperlink"/>
                <w:noProof/>
              </w:rPr>
              <w:t>4.6.1.</w:t>
            </w:r>
            <w:r>
              <w:rPr>
                <w:rFonts w:asciiTheme="minorHAnsi" w:eastAsiaTheme="minorEastAsia" w:hAnsiTheme="minorHAnsi" w:cstheme="minorBidi"/>
                <w:noProof/>
                <w:lang w:val="en-MY" w:eastAsia="zh-CN"/>
              </w:rPr>
              <w:tab/>
            </w:r>
            <w:r w:rsidRPr="00031C90">
              <w:rPr>
                <w:rStyle w:val="Hyperlink"/>
                <w:noProof/>
              </w:rPr>
              <w:t>Business as usual scenario</w:t>
            </w:r>
            <w:r>
              <w:rPr>
                <w:noProof/>
                <w:webHidden/>
              </w:rPr>
              <w:tab/>
            </w:r>
            <w:r>
              <w:rPr>
                <w:noProof/>
                <w:webHidden/>
              </w:rPr>
              <w:fldChar w:fldCharType="begin"/>
            </w:r>
            <w:r>
              <w:rPr>
                <w:noProof/>
                <w:webHidden/>
              </w:rPr>
              <w:instrText xml:space="preserve"> PAGEREF _Toc62221399 \h </w:instrText>
            </w:r>
            <w:r>
              <w:rPr>
                <w:noProof/>
                <w:webHidden/>
              </w:rPr>
            </w:r>
            <w:r>
              <w:rPr>
                <w:noProof/>
                <w:webHidden/>
              </w:rPr>
              <w:fldChar w:fldCharType="separate"/>
            </w:r>
            <w:r>
              <w:rPr>
                <w:noProof/>
                <w:webHidden/>
              </w:rPr>
              <w:t>17</w:t>
            </w:r>
            <w:r>
              <w:rPr>
                <w:noProof/>
                <w:webHidden/>
              </w:rPr>
              <w:fldChar w:fldCharType="end"/>
            </w:r>
          </w:hyperlink>
        </w:p>
        <w:p w14:paraId="299489F1" w14:textId="6A13FDF6"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00" w:history="1">
            <w:r w:rsidRPr="00031C90">
              <w:rPr>
                <w:rStyle w:val="Hyperlink"/>
                <w:noProof/>
              </w:rPr>
              <w:t>4.6.2.</w:t>
            </w:r>
            <w:r>
              <w:rPr>
                <w:rFonts w:asciiTheme="minorHAnsi" w:eastAsiaTheme="minorEastAsia" w:hAnsiTheme="minorHAnsi" w:cstheme="minorBidi"/>
                <w:noProof/>
                <w:lang w:val="en-MY" w:eastAsia="zh-CN"/>
              </w:rPr>
              <w:tab/>
            </w:r>
            <w:r w:rsidRPr="00031C90">
              <w:rPr>
                <w:rStyle w:val="Hyperlink"/>
                <w:noProof/>
              </w:rPr>
              <w:t>Current policy scenario</w:t>
            </w:r>
            <w:r>
              <w:rPr>
                <w:noProof/>
                <w:webHidden/>
              </w:rPr>
              <w:tab/>
            </w:r>
            <w:r>
              <w:rPr>
                <w:noProof/>
                <w:webHidden/>
              </w:rPr>
              <w:fldChar w:fldCharType="begin"/>
            </w:r>
            <w:r>
              <w:rPr>
                <w:noProof/>
                <w:webHidden/>
              </w:rPr>
              <w:instrText xml:space="preserve"> PAGEREF _Toc62221400 \h </w:instrText>
            </w:r>
            <w:r>
              <w:rPr>
                <w:noProof/>
                <w:webHidden/>
              </w:rPr>
            </w:r>
            <w:r>
              <w:rPr>
                <w:noProof/>
                <w:webHidden/>
              </w:rPr>
              <w:fldChar w:fldCharType="separate"/>
            </w:r>
            <w:r>
              <w:rPr>
                <w:noProof/>
                <w:webHidden/>
              </w:rPr>
              <w:t>18</w:t>
            </w:r>
            <w:r>
              <w:rPr>
                <w:noProof/>
                <w:webHidden/>
              </w:rPr>
              <w:fldChar w:fldCharType="end"/>
            </w:r>
          </w:hyperlink>
        </w:p>
        <w:p w14:paraId="427CBD24" w14:textId="2B3400C5" w:rsidR="00500FE4" w:rsidRDefault="00500FE4">
          <w:pPr>
            <w:pStyle w:val="TOC4"/>
            <w:tabs>
              <w:tab w:val="left" w:pos="1200"/>
              <w:tab w:val="right" w:pos="9742"/>
            </w:tabs>
            <w:rPr>
              <w:rFonts w:asciiTheme="minorHAnsi" w:eastAsiaTheme="minorEastAsia" w:hAnsiTheme="minorHAnsi" w:cstheme="minorBidi"/>
              <w:noProof/>
              <w:lang w:val="en-MY" w:eastAsia="zh-CN"/>
            </w:rPr>
          </w:pPr>
          <w:hyperlink w:anchor="_Toc62221401" w:history="1">
            <w:r w:rsidRPr="00031C90">
              <w:rPr>
                <w:rStyle w:val="Hyperlink"/>
                <w:noProof/>
              </w:rPr>
              <w:t>(a)</w:t>
            </w:r>
            <w:r>
              <w:rPr>
                <w:rFonts w:asciiTheme="minorHAnsi" w:eastAsiaTheme="minorEastAsia" w:hAnsiTheme="minorHAnsi" w:cstheme="minorBidi"/>
                <w:noProof/>
                <w:lang w:val="en-MY" w:eastAsia="zh-CN"/>
              </w:rPr>
              <w:tab/>
            </w:r>
            <w:r w:rsidRPr="00031C90">
              <w:rPr>
                <w:rStyle w:val="Hyperlink"/>
                <w:noProof/>
              </w:rPr>
              <w:t>Industry sector</w:t>
            </w:r>
            <w:r>
              <w:rPr>
                <w:noProof/>
                <w:webHidden/>
              </w:rPr>
              <w:tab/>
            </w:r>
            <w:r>
              <w:rPr>
                <w:noProof/>
                <w:webHidden/>
              </w:rPr>
              <w:fldChar w:fldCharType="begin"/>
            </w:r>
            <w:r>
              <w:rPr>
                <w:noProof/>
                <w:webHidden/>
              </w:rPr>
              <w:instrText xml:space="preserve"> PAGEREF _Toc62221401 \h </w:instrText>
            </w:r>
            <w:r>
              <w:rPr>
                <w:noProof/>
                <w:webHidden/>
              </w:rPr>
            </w:r>
            <w:r>
              <w:rPr>
                <w:noProof/>
                <w:webHidden/>
              </w:rPr>
              <w:fldChar w:fldCharType="separate"/>
            </w:r>
            <w:r>
              <w:rPr>
                <w:noProof/>
                <w:webHidden/>
              </w:rPr>
              <w:t>18</w:t>
            </w:r>
            <w:r>
              <w:rPr>
                <w:noProof/>
                <w:webHidden/>
              </w:rPr>
              <w:fldChar w:fldCharType="end"/>
            </w:r>
          </w:hyperlink>
        </w:p>
        <w:p w14:paraId="4670D8B5" w14:textId="0414D148" w:rsidR="00500FE4" w:rsidRDefault="00500FE4">
          <w:pPr>
            <w:pStyle w:val="TOC4"/>
            <w:tabs>
              <w:tab w:val="left" w:pos="1200"/>
              <w:tab w:val="right" w:pos="9742"/>
            </w:tabs>
            <w:rPr>
              <w:rFonts w:asciiTheme="minorHAnsi" w:eastAsiaTheme="minorEastAsia" w:hAnsiTheme="minorHAnsi" w:cstheme="minorBidi"/>
              <w:noProof/>
              <w:lang w:val="en-MY" w:eastAsia="zh-CN"/>
            </w:rPr>
          </w:pPr>
          <w:hyperlink w:anchor="_Toc62221402" w:history="1">
            <w:r w:rsidRPr="00031C90">
              <w:rPr>
                <w:rStyle w:val="Hyperlink"/>
                <w:noProof/>
              </w:rPr>
              <w:t>(b)</w:t>
            </w:r>
            <w:r>
              <w:rPr>
                <w:rFonts w:asciiTheme="minorHAnsi" w:eastAsiaTheme="minorEastAsia" w:hAnsiTheme="minorHAnsi" w:cstheme="minorBidi"/>
                <w:noProof/>
                <w:lang w:val="en-MY" w:eastAsia="zh-CN"/>
              </w:rPr>
              <w:tab/>
            </w:r>
            <w:r w:rsidRPr="00031C90">
              <w:rPr>
                <w:rStyle w:val="Hyperlink"/>
                <w:noProof/>
              </w:rPr>
              <w:t>Transport</w:t>
            </w:r>
            <w:r>
              <w:rPr>
                <w:noProof/>
                <w:webHidden/>
              </w:rPr>
              <w:tab/>
            </w:r>
            <w:r>
              <w:rPr>
                <w:noProof/>
                <w:webHidden/>
              </w:rPr>
              <w:fldChar w:fldCharType="begin"/>
            </w:r>
            <w:r>
              <w:rPr>
                <w:noProof/>
                <w:webHidden/>
              </w:rPr>
              <w:instrText xml:space="preserve"> PAGEREF _Toc62221402 \h </w:instrText>
            </w:r>
            <w:r>
              <w:rPr>
                <w:noProof/>
                <w:webHidden/>
              </w:rPr>
            </w:r>
            <w:r>
              <w:rPr>
                <w:noProof/>
                <w:webHidden/>
              </w:rPr>
              <w:fldChar w:fldCharType="separate"/>
            </w:r>
            <w:r>
              <w:rPr>
                <w:noProof/>
                <w:webHidden/>
              </w:rPr>
              <w:t>18</w:t>
            </w:r>
            <w:r>
              <w:rPr>
                <w:noProof/>
                <w:webHidden/>
              </w:rPr>
              <w:fldChar w:fldCharType="end"/>
            </w:r>
          </w:hyperlink>
        </w:p>
        <w:p w14:paraId="72366E4B" w14:textId="4E173536" w:rsidR="00500FE4" w:rsidRDefault="00500FE4">
          <w:pPr>
            <w:pStyle w:val="TOC4"/>
            <w:tabs>
              <w:tab w:val="left" w:pos="1200"/>
              <w:tab w:val="right" w:pos="9742"/>
            </w:tabs>
            <w:rPr>
              <w:rFonts w:asciiTheme="minorHAnsi" w:eastAsiaTheme="minorEastAsia" w:hAnsiTheme="minorHAnsi" w:cstheme="minorBidi"/>
              <w:noProof/>
              <w:lang w:val="en-MY" w:eastAsia="zh-CN"/>
            </w:rPr>
          </w:pPr>
          <w:hyperlink w:anchor="_Toc62221403" w:history="1">
            <w:r w:rsidRPr="00031C90">
              <w:rPr>
                <w:rStyle w:val="Hyperlink"/>
                <w:noProof/>
              </w:rPr>
              <w:t>(c)</w:t>
            </w:r>
            <w:r>
              <w:rPr>
                <w:rFonts w:asciiTheme="minorHAnsi" w:eastAsiaTheme="minorEastAsia" w:hAnsiTheme="minorHAnsi" w:cstheme="minorBidi"/>
                <w:noProof/>
                <w:lang w:val="en-MY" w:eastAsia="zh-CN"/>
              </w:rPr>
              <w:tab/>
            </w:r>
            <w:r w:rsidRPr="00031C90">
              <w:rPr>
                <w:rStyle w:val="Hyperlink"/>
                <w:noProof/>
              </w:rPr>
              <w:t>Residential</w:t>
            </w:r>
            <w:r>
              <w:rPr>
                <w:noProof/>
                <w:webHidden/>
              </w:rPr>
              <w:tab/>
            </w:r>
            <w:r>
              <w:rPr>
                <w:noProof/>
                <w:webHidden/>
              </w:rPr>
              <w:fldChar w:fldCharType="begin"/>
            </w:r>
            <w:r>
              <w:rPr>
                <w:noProof/>
                <w:webHidden/>
              </w:rPr>
              <w:instrText xml:space="preserve"> PAGEREF _Toc62221403 \h </w:instrText>
            </w:r>
            <w:r>
              <w:rPr>
                <w:noProof/>
                <w:webHidden/>
              </w:rPr>
            </w:r>
            <w:r>
              <w:rPr>
                <w:noProof/>
                <w:webHidden/>
              </w:rPr>
              <w:fldChar w:fldCharType="separate"/>
            </w:r>
            <w:r>
              <w:rPr>
                <w:noProof/>
                <w:webHidden/>
              </w:rPr>
              <w:t>19</w:t>
            </w:r>
            <w:r>
              <w:rPr>
                <w:noProof/>
                <w:webHidden/>
              </w:rPr>
              <w:fldChar w:fldCharType="end"/>
            </w:r>
          </w:hyperlink>
        </w:p>
        <w:p w14:paraId="2D322B95" w14:textId="5E6AB7DC" w:rsidR="00500FE4" w:rsidRDefault="00500FE4">
          <w:pPr>
            <w:pStyle w:val="TOC4"/>
            <w:tabs>
              <w:tab w:val="left" w:pos="1200"/>
              <w:tab w:val="right" w:pos="9742"/>
            </w:tabs>
            <w:rPr>
              <w:rFonts w:asciiTheme="minorHAnsi" w:eastAsiaTheme="minorEastAsia" w:hAnsiTheme="minorHAnsi" w:cstheme="minorBidi"/>
              <w:noProof/>
              <w:lang w:val="en-MY" w:eastAsia="zh-CN"/>
            </w:rPr>
          </w:pPr>
          <w:hyperlink w:anchor="_Toc62221404" w:history="1">
            <w:r w:rsidRPr="00031C90">
              <w:rPr>
                <w:rStyle w:val="Hyperlink"/>
                <w:noProof/>
              </w:rPr>
              <w:t>(d)</w:t>
            </w:r>
            <w:r>
              <w:rPr>
                <w:rFonts w:asciiTheme="minorHAnsi" w:eastAsiaTheme="minorEastAsia" w:hAnsiTheme="minorHAnsi" w:cstheme="minorBidi"/>
                <w:noProof/>
                <w:lang w:val="en-MY" w:eastAsia="zh-CN"/>
              </w:rPr>
              <w:tab/>
            </w:r>
            <w:r w:rsidRPr="00031C90">
              <w:rPr>
                <w:rStyle w:val="Hyperlink"/>
                <w:noProof/>
              </w:rPr>
              <w:t>Commercial</w:t>
            </w:r>
            <w:r>
              <w:rPr>
                <w:noProof/>
                <w:webHidden/>
              </w:rPr>
              <w:tab/>
            </w:r>
            <w:r>
              <w:rPr>
                <w:noProof/>
                <w:webHidden/>
              </w:rPr>
              <w:fldChar w:fldCharType="begin"/>
            </w:r>
            <w:r>
              <w:rPr>
                <w:noProof/>
                <w:webHidden/>
              </w:rPr>
              <w:instrText xml:space="preserve"> PAGEREF _Toc62221404 \h </w:instrText>
            </w:r>
            <w:r>
              <w:rPr>
                <w:noProof/>
                <w:webHidden/>
              </w:rPr>
            </w:r>
            <w:r>
              <w:rPr>
                <w:noProof/>
                <w:webHidden/>
              </w:rPr>
              <w:fldChar w:fldCharType="separate"/>
            </w:r>
            <w:r>
              <w:rPr>
                <w:noProof/>
                <w:webHidden/>
              </w:rPr>
              <w:t>19</w:t>
            </w:r>
            <w:r>
              <w:rPr>
                <w:noProof/>
                <w:webHidden/>
              </w:rPr>
              <w:fldChar w:fldCharType="end"/>
            </w:r>
          </w:hyperlink>
        </w:p>
        <w:p w14:paraId="78BEC22D" w14:textId="67C4D05C" w:rsidR="00500FE4" w:rsidRDefault="00500FE4">
          <w:pPr>
            <w:pStyle w:val="TOC4"/>
            <w:tabs>
              <w:tab w:val="left" w:pos="1200"/>
              <w:tab w:val="right" w:pos="9742"/>
            </w:tabs>
            <w:rPr>
              <w:rFonts w:asciiTheme="minorHAnsi" w:eastAsiaTheme="minorEastAsia" w:hAnsiTheme="minorHAnsi" w:cstheme="minorBidi"/>
              <w:noProof/>
              <w:lang w:val="en-MY" w:eastAsia="zh-CN"/>
            </w:rPr>
          </w:pPr>
          <w:hyperlink w:anchor="_Toc62221405" w:history="1">
            <w:r w:rsidRPr="00031C90">
              <w:rPr>
                <w:rStyle w:val="Hyperlink"/>
                <w:noProof/>
              </w:rPr>
              <w:t>(e)</w:t>
            </w:r>
            <w:r>
              <w:rPr>
                <w:rFonts w:asciiTheme="minorHAnsi" w:eastAsiaTheme="minorEastAsia" w:hAnsiTheme="minorHAnsi" w:cstheme="minorBidi"/>
                <w:noProof/>
                <w:lang w:val="en-MY" w:eastAsia="zh-CN"/>
              </w:rPr>
              <w:tab/>
            </w:r>
            <w:r w:rsidRPr="00031C90">
              <w:rPr>
                <w:rStyle w:val="Hyperlink"/>
                <w:noProof/>
              </w:rPr>
              <w:t>Other</w:t>
            </w:r>
            <w:r>
              <w:rPr>
                <w:noProof/>
                <w:webHidden/>
              </w:rPr>
              <w:tab/>
            </w:r>
            <w:r>
              <w:rPr>
                <w:noProof/>
                <w:webHidden/>
              </w:rPr>
              <w:fldChar w:fldCharType="begin"/>
            </w:r>
            <w:r>
              <w:rPr>
                <w:noProof/>
                <w:webHidden/>
              </w:rPr>
              <w:instrText xml:space="preserve"> PAGEREF _Toc62221405 \h </w:instrText>
            </w:r>
            <w:r>
              <w:rPr>
                <w:noProof/>
                <w:webHidden/>
              </w:rPr>
            </w:r>
            <w:r>
              <w:rPr>
                <w:noProof/>
                <w:webHidden/>
              </w:rPr>
              <w:fldChar w:fldCharType="separate"/>
            </w:r>
            <w:r>
              <w:rPr>
                <w:noProof/>
                <w:webHidden/>
              </w:rPr>
              <w:t>19</w:t>
            </w:r>
            <w:r>
              <w:rPr>
                <w:noProof/>
                <w:webHidden/>
              </w:rPr>
              <w:fldChar w:fldCharType="end"/>
            </w:r>
          </w:hyperlink>
        </w:p>
        <w:p w14:paraId="492C2A63" w14:textId="7C439CC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06" w:history="1">
            <w:r w:rsidRPr="00031C90">
              <w:rPr>
                <w:rStyle w:val="Hyperlink"/>
                <w:noProof/>
              </w:rPr>
              <w:t>4.7.</w:t>
            </w:r>
            <w:r>
              <w:rPr>
                <w:rFonts w:asciiTheme="minorHAnsi" w:eastAsiaTheme="minorEastAsia" w:hAnsiTheme="minorHAnsi" w:cstheme="minorBidi"/>
                <w:noProof/>
                <w:lang w:val="en-MY" w:eastAsia="zh-CN"/>
              </w:rPr>
              <w:tab/>
            </w:r>
            <w:r w:rsidRPr="00031C90">
              <w:rPr>
                <w:rStyle w:val="Hyperlink"/>
                <w:noProof/>
              </w:rPr>
              <w:t>Electric Power Generation Outlook</w:t>
            </w:r>
            <w:r>
              <w:rPr>
                <w:noProof/>
                <w:webHidden/>
              </w:rPr>
              <w:tab/>
            </w:r>
            <w:r>
              <w:rPr>
                <w:noProof/>
                <w:webHidden/>
              </w:rPr>
              <w:fldChar w:fldCharType="begin"/>
            </w:r>
            <w:r>
              <w:rPr>
                <w:noProof/>
                <w:webHidden/>
              </w:rPr>
              <w:instrText xml:space="preserve"> PAGEREF _Toc62221406 \h </w:instrText>
            </w:r>
            <w:r>
              <w:rPr>
                <w:noProof/>
                <w:webHidden/>
              </w:rPr>
            </w:r>
            <w:r>
              <w:rPr>
                <w:noProof/>
                <w:webHidden/>
              </w:rPr>
              <w:fldChar w:fldCharType="separate"/>
            </w:r>
            <w:r>
              <w:rPr>
                <w:noProof/>
                <w:webHidden/>
              </w:rPr>
              <w:t>19</w:t>
            </w:r>
            <w:r>
              <w:rPr>
                <w:noProof/>
                <w:webHidden/>
              </w:rPr>
              <w:fldChar w:fldCharType="end"/>
            </w:r>
          </w:hyperlink>
        </w:p>
        <w:p w14:paraId="3E63037D" w14:textId="619B1E0A"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07" w:history="1">
            <w:r w:rsidRPr="00031C90">
              <w:rPr>
                <w:rStyle w:val="Hyperlink"/>
                <w:noProof/>
              </w:rPr>
              <w:t>4.7.1.</w:t>
            </w:r>
            <w:r>
              <w:rPr>
                <w:rFonts w:asciiTheme="minorHAnsi" w:eastAsiaTheme="minorEastAsia" w:hAnsiTheme="minorHAnsi" w:cstheme="minorBidi"/>
                <w:noProof/>
                <w:lang w:val="en-MY" w:eastAsia="zh-CN"/>
              </w:rPr>
              <w:tab/>
            </w:r>
            <w:r w:rsidRPr="00031C90">
              <w:rPr>
                <w:rStyle w:val="Hyperlink"/>
                <w:noProof/>
              </w:rPr>
              <w:t>Business as usual scenario</w:t>
            </w:r>
            <w:r>
              <w:rPr>
                <w:noProof/>
                <w:webHidden/>
              </w:rPr>
              <w:tab/>
            </w:r>
            <w:r>
              <w:rPr>
                <w:noProof/>
                <w:webHidden/>
              </w:rPr>
              <w:fldChar w:fldCharType="begin"/>
            </w:r>
            <w:r>
              <w:rPr>
                <w:noProof/>
                <w:webHidden/>
              </w:rPr>
              <w:instrText xml:space="preserve"> PAGEREF _Toc62221407 \h </w:instrText>
            </w:r>
            <w:r>
              <w:rPr>
                <w:noProof/>
                <w:webHidden/>
              </w:rPr>
            </w:r>
            <w:r>
              <w:rPr>
                <w:noProof/>
                <w:webHidden/>
              </w:rPr>
              <w:fldChar w:fldCharType="separate"/>
            </w:r>
            <w:r>
              <w:rPr>
                <w:noProof/>
                <w:webHidden/>
              </w:rPr>
              <w:t>19</w:t>
            </w:r>
            <w:r>
              <w:rPr>
                <w:noProof/>
                <w:webHidden/>
              </w:rPr>
              <w:fldChar w:fldCharType="end"/>
            </w:r>
          </w:hyperlink>
        </w:p>
        <w:p w14:paraId="77899EFC" w14:textId="65B283EF"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08" w:history="1">
            <w:r w:rsidRPr="00031C90">
              <w:rPr>
                <w:rStyle w:val="Hyperlink"/>
                <w:noProof/>
              </w:rPr>
              <w:t>4.7.2.</w:t>
            </w:r>
            <w:r>
              <w:rPr>
                <w:rFonts w:asciiTheme="minorHAnsi" w:eastAsiaTheme="minorEastAsia" w:hAnsiTheme="minorHAnsi" w:cstheme="minorBidi"/>
                <w:noProof/>
                <w:lang w:val="en-MY" w:eastAsia="zh-CN"/>
              </w:rPr>
              <w:tab/>
            </w:r>
            <w:r w:rsidRPr="00031C90">
              <w:rPr>
                <w:rStyle w:val="Hyperlink"/>
                <w:noProof/>
              </w:rPr>
              <w:t>Current policy scenario</w:t>
            </w:r>
            <w:r>
              <w:rPr>
                <w:noProof/>
                <w:webHidden/>
              </w:rPr>
              <w:tab/>
            </w:r>
            <w:r>
              <w:rPr>
                <w:noProof/>
                <w:webHidden/>
              </w:rPr>
              <w:fldChar w:fldCharType="begin"/>
            </w:r>
            <w:r>
              <w:rPr>
                <w:noProof/>
                <w:webHidden/>
              </w:rPr>
              <w:instrText xml:space="preserve"> PAGEREF _Toc62221408 \h </w:instrText>
            </w:r>
            <w:r>
              <w:rPr>
                <w:noProof/>
                <w:webHidden/>
              </w:rPr>
            </w:r>
            <w:r>
              <w:rPr>
                <w:noProof/>
                <w:webHidden/>
              </w:rPr>
              <w:fldChar w:fldCharType="separate"/>
            </w:r>
            <w:r>
              <w:rPr>
                <w:noProof/>
                <w:webHidden/>
              </w:rPr>
              <w:t>19</w:t>
            </w:r>
            <w:r>
              <w:rPr>
                <w:noProof/>
                <w:webHidden/>
              </w:rPr>
              <w:fldChar w:fldCharType="end"/>
            </w:r>
          </w:hyperlink>
        </w:p>
        <w:p w14:paraId="75A51BCF" w14:textId="4756D455"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09" w:history="1">
            <w:r w:rsidRPr="00031C90">
              <w:rPr>
                <w:rStyle w:val="Hyperlink"/>
                <w:noProof/>
              </w:rPr>
              <w:t>4.8.</w:t>
            </w:r>
            <w:r>
              <w:rPr>
                <w:rFonts w:asciiTheme="minorHAnsi" w:eastAsiaTheme="minorEastAsia" w:hAnsiTheme="minorHAnsi" w:cstheme="minorBidi"/>
                <w:noProof/>
                <w:lang w:val="en-MY" w:eastAsia="zh-CN"/>
              </w:rPr>
              <w:tab/>
            </w:r>
            <w:r w:rsidRPr="00031C90">
              <w:rPr>
                <w:rStyle w:val="Hyperlink"/>
                <w:noProof/>
              </w:rPr>
              <w:t>Energy Supply Outlook</w:t>
            </w:r>
            <w:r>
              <w:rPr>
                <w:noProof/>
                <w:webHidden/>
              </w:rPr>
              <w:tab/>
            </w:r>
            <w:r>
              <w:rPr>
                <w:noProof/>
                <w:webHidden/>
              </w:rPr>
              <w:fldChar w:fldCharType="begin"/>
            </w:r>
            <w:r>
              <w:rPr>
                <w:noProof/>
                <w:webHidden/>
              </w:rPr>
              <w:instrText xml:space="preserve"> PAGEREF _Toc62221409 \h </w:instrText>
            </w:r>
            <w:r>
              <w:rPr>
                <w:noProof/>
                <w:webHidden/>
              </w:rPr>
            </w:r>
            <w:r>
              <w:rPr>
                <w:noProof/>
                <w:webHidden/>
              </w:rPr>
              <w:fldChar w:fldCharType="separate"/>
            </w:r>
            <w:r>
              <w:rPr>
                <w:noProof/>
                <w:webHidden/>
              </w:rPr>
              <w:t>20</w:t>
            </w:r>
            <w:r>
              <w:rPr>
                <w:noProof/>
                <w:webHidden/>
              </w:rPr>
              <w:fldChar w:fldCharType="end"/>
            </w:r>
          </w:hyperlink>
        </w:p>
        <w:p w14:paraId="5A28D48D" w14:textId="541C24CC"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0" w:history="1">
            <w:r w:rsidRPr="00031C90">
              <w:rPr>
                <w:rStyle w:val="Hyperlink"/>
                <w:noProof/>
              </w:rPr>
              <w:t>4.8.1.</w:t>
            </w:r>
            <w:r>
              <w:rPr>
                <w:rFonts w:asciiTheme="minorHAnsi" w:eastAsiaTheme="minorEastAsia" w:hAnsiTheme="minorHAnsi" w:cstheme="minorBidi"/>
                <w:noProof/>
                <w:lang w:val="en-MY" w:eastAsia="zh-CN"/>
              </w:rPr>
              <w:tab/>
            </w:r>
            <w:r w:rsidRPr="00031C90">
              <w:rPr>
                <w:rStyle w:val="Hyperlink"/>
                <w:noProof/>
              </w:rPr>
              <w:t>Business as usual scenario</w:t>
            </w:r>
            <w:r>
              <w:rPr>
                <w:noProof/>
                <w:webHidden/>
              </w:rPr>
              <w:tab/>
            </w:r>
            <w:r>
              <w:rPr>
                <w:noProof/>
                <w:webHidden/>
              </w:rPr>
              <w:fldChar w:fldCharType="begin"/>
            </w:r>
            <w:r>
              <w:rPr>
                <w:noProof/>
                <w:webHidden/>
              </w:rPr>
              <w:instrText xml:space="preserve"> PAGEREF _Toc62221410 \h </w:instrText>
            </w:r>
            <w:r>
              <w:rPr>
                <w:noProof/>
                <w:webHidden/>
              </w:rPr>
            </w:r>
            <w:r>
              <w:rPr>
                <w:noProof/>
                <w:webHidden/>
              </w:rPr>
              <w:fldChar w:fldCharType="separate"/>
            </w:r>
            <w:r>
              <w:rPr>
                <w:noProof/>
                <w:webHidden/>
              </w:rPr>
              <w:t>20</w:t>
            </w:r>
            <w:r>
              <w:rPr>
                <w:noProof/>
                <w:webHidden/>
              </w:rPr>
              <w:fldChar w:fldCharType="end"/>
            </w:r>
          </w:hyperlink>
        </w:p>
        <w:p w14:paraId="6B6F04E7" w14:textId="0FF78E10"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1" w:history="1">
            <w:r w:rsidRPr="00031C90">
              <w:rPr>
                <w:rStyle w:val="Hyperlink"/>
                <w:noProof/>
              </w:rPr>
              <w:t>4.8.2.</w:t>
            </w:r>
            <w:r>
              <w:rPr>
                <w:rFonts w:asciiTheme="minorHAnsi" w:eastAsiaTheme="minorEastAsia" w:hAnsiTheme="minorHAnsi" w:cstheme="minorBidi"/>
                <w:noProof/>
                <w:lang w:val="en-MY" w:eastAsia="zh-CN"/>
              </w:rPr>
              <w:tab/>
            </w:r>
            <w:r w:rsidRPr="00031C90">
              <w:rPr>
                <w:rStyle w:val="Hyperlink"/>
                <w:noProof/>
              </w:rPr>
              <w:t>Current policy scenario</w:t>
            </w:r>
            <w:r>
              <w:rPr>
                <w:noProof/>
                <w:webHidden/>
              </w:rPr>
              <w:tab/>
            </w:r>
            <w:r>
              <w:rPr>
                <w:noProof/>
                <w:webHidden/>
              </w:rPr>
              <w:fldChar w:fldCharType="begin"/>
            </w:r>
            <w:r>
              <w:rPr>
                <w:noProof/>
                <w:webHidden/>
              </w:rPr>
              <w:instrText xml:space="preserve"> PAGEREF _Toc62221411 \h </w:instrText>
            </w:r>
            <w:r>
              <w:rPr>
                <w:noProof/>
                <w:webHidden/>
              </w:rPr>
            </w:r>
            <w:r>
              <w:rPr>
                <w:noProof/>
                <w:webHidden/>
              </w:rPr>
              <w:fldChar w:fldCharType="separate"/>
            </w:r>
            <w:r>
              <w:rPr>
                <w:noProof/>
                <w:webHidden/>
              </w:rPr>
              <w:t>20</w:t>
            </w:r>
            <w:r>
              <w:rPr>
                <w:noProof/>
                <w:webHidden/>
              </w:rPr>
              <w:fldChar w:fldCharType="end"/>
            </w:r>
          </w:hyperlink>
        </w:p>
        <w:p w14:paraId="1D1C1066" w14:textId="27E210F9"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12" w:history="1">
            <w:r w:rsidRPr="00031C90">
              <w:rPr>
                <w:rStyle w:val="Hyperlink"/>
                <w:noProof/>
              </w:rPr>
              <w:t>4.9.</w:t>
            </w:r>
            <w:r>
              <w:rPr>
                <w:rFonts w:asciiTheme="minorHAnsi" w:eastAsiaTheme="minorEastAsia" w:hAnsiTheme="minorHAnsi" w:cstheme="minorBidi"/>
                <w:noProof/>
                <w:lang w:val="en-MY" w:eastAsia="zh-CN"/>
              </w:rPr>
              <w:tab/>
            </w:r>
            <w:r w:rsidRPr="00031C90">
              <w:rPr>
                <w:rStyle w:val="Hyperlink"/>
                <w:noProof/>
              </w:rPr>
              <w:t>Energy Sector Emissions Outlook</w:t>
            </w:r>
            <w:r>
              <w:rPr>
                <w:noProof/>
                <w:webHidden/>
              </w:rPr>
              <w:tab/>
            </w:r>
            <w:r>
              <w:rPr>
                <w:noProof/>
                <w:webHidden/>
              </w:rPr>
              <w:fldChar w:fldCharType="begin"/>
            </w:r>
            <w:r>
              <w:rPr>
                <w:noProof/>
                <w:webHidden/>
              </w:rPr>
              <w:instrText xml:space="preserve"> PAGEREF _Toc62221412 \h </w:instrText>
            </w:r>
            <w:r>
              <w:rPr>
                <w:noProof/>
                <w:webHidden/>
              </w:rPr>
            </w:r>
            <w:r>
              <w:rPr>
                <w:noProof/>
                <w:webHidden/>
              </w:rPr>
              <w:fldChar w:fldCharType="separate"/>
            </w:r>
            <w:r>
              <w:rPr>
                <w:noProof/>
                <w:webHidden/>
              </w:rPr>
              <w:t>21</w:t>
            </w:r>
            <w:r>
              <w:rPr>
                <w:noProof/>
                <w:webHidden/>
              </w:rPr>
              <w:fldChar w:fldCharType="end"/>
            </w:r>
          </w:hyperlink>
        </w:p>
        <w:p w14:paraId="58ADE3E8" w14:textId="02F4E3C5"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3" w:history="1">
            <w:r w:rsidRPr="00031C90">
              <w:rPr>
                <w:rStyle w:val="Hyperlink"/>
                <w:noProof/>
              </w:rPr>
              <w:t>4.9.1.</w:t>
            </w:r>
            <w:r>
              <w:rPr>
                <w:rFonts w:asciiTheme="minorHAnsi" w:eastAsiaTheme="minorEastAsia" w:hAnsiTheme="minorHAnsi" w:cstheme="minorBidi"/>
                <w:noProof/>
                <w:lang w:val="en-MY" w:eastAsia="zh-CN"/>
              </w:rPr>
              <w:tab/>
            </w:r>
            <w:r w:rsidRPr="00031C90">
              <w:rPr>
                <w:rStyle w:val="Hyperlink"/>
                <w:noProof/>
              </w:rPr>
              <w:t>Business as usual scenario</w:t>
            </w:r>
            <w:r>
              <w:rPr>
                <w:noProof/>
                <w:webHidden/>
              </w:rPr>
              <w:tab/>
            </w:r>
            <w:r>
              <w:rPr>
                <w:noProof/>
                <w:webHidden/>
              </w:rPr>
              <w:fldChar w:fldCharType="begin"/>
            </w:r>
            <w:r>
              <w:rPr>
                <w:noProof/>
                <w:webHidden/>
              </w:rPr>
              <w:instrText xml:space="preserve"> PAGEREF _Toc62221413 \h </w:instrText>
            </w:r>
            <w:r>
              <w:rPr>
                <w:noProof/>
                <w:webHidden/>
              </w:rPr>
            </w:r>
            <w:r>
              <w:rPr>
                <w:noProof/>
                <w:webHidden/>
              </w:rPr>
              <w:fldChar w:fldCharType="separate"/>
            </w:r>
            <w:r>
              <w:rPr>
                <w:noProof/>
                <w:webHidden/>
              </w:rPr>
              <w:t>21</w:t>
            </w:r>
            <w:r>
              <w:rPr>
                <w:noProof/>
                <w:webHidden/>
              </w:rPr>
              <w:fldChar w:fldCharType="end"/>
            </w:r>
          </w:hyperlink>
        </w:p>
        <w:p w14:paraId="220D26BB" w14:textId="01F24F5D"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4" w:history="1">
            <w:r w:rsidRPr="00031C90">
              <w:rPr>
                <w:rStyle w:val="Hyperlink"/>
                <w:noProof/>
              </w:rPr>
              <w:t>4.9.2.</w:t>
            </w:r>
            <w:r>
              <w:rPr>
                <w:rFonts w:asciiTheme="minorHAnsi" w:eastAsiaTheme="minorEastAsia" w:hAnsiTheme="minorHAnsi" w:cstheme="minorBidi"/>
                <w:noProof/>
                <w:lang w:val="en-MY" w:eastAsia="zh-CN"/>
              </w:rPr>
              <w:tab/>
            </w:r>
            <w:r w:rsidRPr="00031C90">
              <w:rPr>
                <w:rStyle w:val="Hyperlink"/>
                <w:noProof/>
              </w:rPr>
              <w:t>Current policy scenario</w:t>
            </w:r>
            <w:r>
              <w:rPr>
                <w:noProof/>
                <w:webHidden/>
              </w:rPr>
              <w:tab/>
            </w:r>
            <w:r>
              <w:rPr>
                <w:noProof/>
                <w:webHidden/>
              </w:rPr>
              <w:fldChar w:fldCharType="begin"/>
            </w:r>
            <w:r>
              <w:rPr>
                <w:noProof/>
                <w:webHidden/>
              </w:rPr>
              <w:instrText xml:space="preserve"> PAGEREF _Toc62221414 \h </w:instrText>
            </w:r>
            <w:r>
              <w:rPr>
                <w:noProof/>
                <w:webHidden/>
              </w:rPr>
            </w:r>
            <w:r>
              <w:rPr>
                <w:noProof/>
                <w:webHidden/>
              </w:rPr>
              <w:fldChar w:fldCharType="separate"/>
            </w:r>
            <w:r>
              <w:rPr>
                <w:noProof/>
                <w:webHidden/>
              </w:rPr>
              <w:t>22</w:t>
            </w:r>
            <w:r>
              <w:rPr>
                <w:noProof/>
                <w:webHidden/>
              </w:rPr>
              <w:fldChar w:fldCharType="end"/>
            </w:r>
          </w:hyperlink>
        </w:p>
        <w:p w14:paraId="6D93998A" w14:textId="1AAE4AE0"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415" w:history="1">
            <w:r w:rsidRPr="00031C90">
              <w:rPr>
                <w:rStyle w:val="Hyperlink"/>
                <w:noProof/>
              </w:rPr>
              <w:t>5.</w:t>
            </w:r>
            <w:r>
              <w:rPr>
                <w:rFonts w:asciiTheme="minorHAnsi" w:eastAsiaTheme="minorEastAsia" w:hAnsiTheme="minorHAnsi" w:cstheme="minorBidi"/>
                <w:noProof/>
                <w:lang w:val="en-MY" w:eastAsia="zh-CN"/>
              </w:rPr>
              <w:tab/>
            </w:r>
            <w:r w:rsidRPr="00031C90">
              <w:rPr>
                <w:rStyle w:val="Hyperlink"/>
                <w:noProof/>
              </w:rPr>
              <w:t>SDG scenario – achieving SDG 7 by 2030</w:t>
            </w:r>
            <w:r>
              <w:rPr>
                <w:noProof/>
                <w:webHidden/>
              </w:rPr>
              <w:tab/>
            </w:r>
            <w:r>
              <w:rPr>
                <w:noProof/>
                <w:webHidden/>
              </w:rPr>
              <w:fldChar w:fldCharType="begin"/>
            </w:r>
            <w:r>
              <w:rPr>
                <w:noProof/>
                <w:webHidden/>
              </w:rPr>
              <w:instrText xml:space="preserve"> PAGEREF _Toc62221415 \h </w:instrText>
            </w:r>
            <w:r>
              <w:rPr>
                <w:noProof/>
                <w:webHidden/>
              </w:rPr>
            </w:r>
            <w:r>
              <w:rPr>
                <w:noProof/>
                <w:webHidden/>
              </w:rPr>
              <w:fldChar w:fldCharType="separate"/>
            </w:r>
            <w:r>
              <w:rPr>
                <w:noProof/>
                <w:webHidden/>
              </w:rPr>
              <w:t>23</w:t>
            </w:r>
            <w:r>
              <w:rPr>
                <w:noProof/>
                <w:webHidden/>
              </w:rPr>
              <w:fldChar w:fldCharType="end"/>
            </w:r>
          </w:hyperlink>
        </w:p>
        <w:p w14:paraId="52763985" w14:textId="4FAFC96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16" w:history="1">
            <w:r w:rsidRPr="00031C90">
              <w:rPr>
                <w:rStyle w:val="Hyperlink"/>
                <w:noProof/>
              </w:rPr>
              <w:t>5.1.</w:t>
            </w:r>
            <w:r>
              <w:rPr>
                <w:rFonts w:asciiTheme="minorHAnsi" w:eastAsiaTheme="minorEastAsia" w:hAnsiTheme="minorHAnsi" w:cstheme="minorBidi"/>
                <w:noProof/>
                <w:lang w:val="en-MY" w:eastAsia="zh-CN"/>
              </w:rPr>
              <w:tab/>
            </w:r>
            <w:r w:rsidRPr="00031C90">
              <w:rPr>
                <w:rStyle w:val="Hyperlink"/>
                <w:noProof/>
              </w:rPr>
              <w:t>SDG 7 targets</w:t>
            </w:r>
            <w:r>
              <w:rPr>
                <w:noProof/>
                <w:webHidden/>
              </w:rPr>
              <w:tab/>
            </w:r>
            <w:r>
              <w:rPr>
                <w:noProof/>
                <w:webHidden/>
              </w:rPr>
              <w:fldChar w:fldCharType="begin"/>
            </w:r>
            <w:r>
              <w:rPr>
                <w:noProof/>
                <w:webHidden/>
              </w:rPr>
              <w:instrText xml:space="preserve"> PAGEREF _Toc62221416 \h </w:instrText>
            </w:r>
            <w:r>
              <w:rPr>
                <w:noProof/>
                <w:webHidden/>
              </w:rPr>
            </w:r>
            <w:r>
              <w:rPr>
                <w:noProof/>
                <w:webHidden/>
              </w:rPr>
              <w:fldChar w:fldCharType="separate"/>
            </w:r>
            <w:r>
              <w:rPr>
                <w:noProof/>
                <w:webHidden/>
              </w:rPr>
              <w:t>23</w:t>
            </w:r>
            <w:r>
              <w:rPr>
                <w:noProof/>
                <w:webHidden/>
              </w:rPr>
              <w:fldChar w:fldCharType="end"/>
            </w:r>
          </w:hyperlink>
        </w:p>
        <w:p w14:paraId="1C897CDC" w14:textId="5726B2B9"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7" w:history="1">
            <w:r w:rsidRPr="00031C90">
              <w:rPr>
                <w:rStyle w:val="Hyperlink"/>
                <w:noProof/>
              </w:rPr>
              <w:t>5.1.1.</w:t>
            </w:r>
            <w:r>
              <w:rPr>
                <w:rFonts w:asciiTheme="minorHAnsi" w:eastAsiaTheme="minorEastAsia" w:hAnsiTheme="minorHAnsi" w:cstheme="minorBidi"/>
                <w:noProof/>
                <w:lang w:val="en-MY" w:eastAsia="zh-CN"/>
              </w:rPr>
              <w:tab/>
            </w:r>
            <w:r w:rsidRPr="00031C90">
              <w:rPr>
                <w:rStyle w:val="Hyperlink"/>
                <w:noProof/>
              </w:rPr>
              <w:t>SDG 7.1.1. Access to electricity</w:t>
            </w:r>
            <w:r>
              <w:rPr>
                <w:noProof/>
                <w:webHidden/>
              </w:rPr>
              <w:tab/>
            </w:r>
            <w:r>
              <w:rPr>
                <w:noProof/>
                <w:webHidden/>
              </w:rPr>
              <w:fldChar w:fldCharType="begin"/>
            </w:r>
            <w:r>
              <w:rPr>
                <w:noProof/>
                <w:webHidden/>
              </w:rPr>
              <w:instrText xml:space="preserve"> PAGEREF _Toc62221417 \h </w:instrText>
            </w:r>
            <w:r>
              <w:rPr>
                <w:noProof/>
                <w:webHidden/>
              </w:rPr>
            </w:r>
            <w:r>
              <w:rPr>
                <w:noProof/>
                <w:webHidden/>
              </w:rPr>
              <w:fldChar w:fldCharType="separate"/>
            </w:r>
            <w:r>
              <w:rPr>
                <w:noProof/>
                <w:webHidden/>
              </w:rPr>
              <w:t>23</w:t>
            </w:r>
            <w:r>
              <w:rPr>
                <w:noProof/>
                <w:webHidden/>
              </w:rPr>
              <w:fldChar w:fldCharType="end"/>
            </w:r>
          </w:hyperlink>
        </w:p>
        <w:p w14:paraId="6187B9B8" w14:textId="13C59234"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8" w:history="1">
            <w:r w:rsidRPr="00031C90">
              <w:rPr>
                <w:rStyle w:val="Hyperlink"/>
                <w:noProof/>
              </w:rPr>
              <w:t>4.1.2.</w:t>
            </w:r>
            <w:r>
              <w:rPr>
                <w:rFonts w:asciiTheme="minorHAnsi" w:eastAsiaTheme="minorEastAsia" w:hAnsiTheme="minorHAnsi" w:cstheme="minorBidi"/>
                <w:noProof/>
                <w:lang w:val="en-MY" w:eastAsia="zh-CN"/>
              </w:rPr>
              <w:tab/>
            </w:r>
            <w:r w:rsidRPr="00031C90">
              <w:rPr>
                <w:rStyle w:val="Hyperlink"/>
                <w:noProof/>
              </w:rPr>
              <w:t>SDG 7.1.2. Access to clean fuels and technologies for cooking</w:t>
            </w:r>
            <w:r>
              <w:rPr>
                <w:noProof/>
                <w:webHidden/>
              </w:rPr>
              <w:tab/>
            </w:r>
            <w:r>
              <w:rPr>
                <w:noProof/>
                <w:webHidden/>
              </w:rPr>
              <w:fldChar w:fldCharType="begin"/>
            </w:r>
            <w:r>
              <w:rPr>
                <w:noProof/>
                <w:webHidden/>
              </w:rPr>
              <w:instrText xml:space="preserve"> PAGEREF _Toc62221418 \h </w:instrText>
            </w:r>
            <w:r>
              <w:rPr>
                <w:noProof/>
                <w:webHidden/>
              </w:rPr>
            </w:r>
            <w:r>
              <w:rPr>
                <w:noProof/>
                <w:webHidden/>
              </w:rPr>
              <w:fldChar w:fldCharType="separate"/>
            </w:r>
            <w:r>
              <w:rPr>
                <w:noProof/>
                <w:webHidden/>
              </w:rPr>
              <w:t>23</w:t>
            </w:r>
            <w:r>
              <w:rPr>
                <w:noProof/>
                <w:webHidden/>
              </w:rPr>
              <w:fldChar w:fldCharType="end"/>
            </w:r>
          </w:hyperlink>
        </w:p>
        <w:p w14:paraId="2EECB1B8" w14:textId="6AE77D6A"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19" w:history="1">
            <w:r w:rsidRPr="00031C90">
              <w:rPr>
                <w:rStyle w:val="Hyperlink"/>
                <w:noProof/>
              </w:rPr>
              <w:t>4.1.3.</w:t>
            </w:r>
            <w:r>
              <w:rPr>
                <w:rFonts w:asciiTheme="minorHAnsi" w:eastAsiaTheme="minorEastAsia" w:hAnsiTheme="minorHAnsi" w:cstheme="minorBidi"/>
                <w:noProof/>
                <w:lang w:val="en-MY" w:eastAsia="zh-CN"/>
              </w:rPr>
              <w:tab/>
            </w:r>
            <w:r w:rsidRPr="00031C90">
              <w:rPr>
                <w:rStyle w:val="Hyperlink"/>
                <w:noProof/>
              </w:rPr>
              <w:t>SDG 7.2. Renewable energy</w:t>
            </w:r>
            <w:r>
              <w:rPr>
                <w:noProof/>
                <w:webHidden/>
              </w:rPr>
              <w:tab/>
            </w:r>
            <w:r>
              <w:rPr>
                <w:noProof/>
                <w:webHidden/>
              </w:rPr>
              <w:fldChar w:fldCharType="begin"/>
            </w:r>
            <w:r>
              <w:rPr>
                <w:noProof/>
                <w:webHidden/>
              </w:rPr>
              <w:instrText xml:space="preserve"> PAGEREF _Toc62221419 \h </w:instrText>
            </w:r>
            <w:r>
              <w:rPr>
                <w:noProof/>
                <w:webHidden/>
              </w:rPr>
            </w:r>
            <w:r>
              <w:rPr>
                <w:noProof/>
                <w:webHidden/>
              </w:rPr>
              <w:fldChar w:fldCharType="separate"/>
            </w:r>
            <w:r>
              <w:rPr>
                <w:noProof/>
                <w:webHidden/>
              </w:rPr>
              <w:t>24</w:t>
            </w:r>
            <w:r>
              <w:rPr>
                <w:noProof/>
                <w:webHidden/>
              </w:rPr>
              <w:fldChar w:fldCharType="end"/>
            </w:r>
          </w:hyperlink>
        </w:p>
        <w:p w14:paraId="496AAC92" w14:textId="37B06082"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20" w:history="1">
            <w:r w:rsidRPr="00031C90">
              <w:rPr>
                <w:rStyle w:val="Hyperlink"/>
                <w:noProof/>
              </w:rPr>
              <w:t>5.1.4.</w:t>
            </w:r>
            <w:r>
              <w:rPr>
                <w:rFonts w:asciiTheme="minorHAnsi" w:eastAsiaTheme="minorEastAsia" w:hAnsiTheme="minorHAnsi" w:cstheme="minorBidi"/>
                <w:noProof/>
                <w:lang w:val="en-MY" w:eastAsia="zh-CN"/>
              </w:rPr>
              <w:tab/>
            </w:r>
            <w:r w:rsidRPr="00031C90">
              <w:rPr>
                <w:rStyle w:val="Hyperlink"/>
                <w:noProof/>
              </w:rPr>
              <w:t>SDG 7.3. Energy efficiency</w:t>
            </w:r>
            <w:r>
              <w:rPr>
                <w:noProof/>
                <w:webHidden/>
              </w:rPr>
              <w:tab/>
            </w:r>
            <w:r>
              <w:rPr>
                <w:noProof/>
                <w:webHidden/>
              </w:rPr>
              <w:fldChar w:fldCharType="begin"/>
            </w:r>
            <w:r>
              <w:rPr>
                <w:noProof/>
                <w:webHidden/>
              </w:rPr>
              <w:instrText xml:space="preserve"> PAGEREF _Toc62221420 \h </w:instrText>
            </w:r>
            <w:r>
              <w:rPr>
                <w:noProof/>
                <w:webHidden/>
              </w:rPr>
            </w:r>
            <w:r>
              <w:rPr>
                <w:noProof/>
                <w:webHidden/>
              </w:rPr>
              <w:fldChar w:fldCharType="separate"/>
            </w:r>
            <w:r>
              <w:rPr>
                <w:noProof/>
                <w:webHidden/>
              </w:rPr>
              <w:t>25</w:t>
            </w:r>
            <w:r>
              <w:rPr>
                <w:noProof/>
                <w:webHidden/>
              </w:rPr>
              <w:fldChar w:fldCharType="end"/>
            </w:r>
          </w:hyperlink>
        </w:p>
        <w:p w14:paraId="1C6B36E1" w14:textId="2B37546E"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21" w:history="1">
            <w:r w:rsidRPr="00031C90">
              <w:rPr>
                <w:rStyle w:val="Hyperlink"/>
                <w:noProof/>
              </w:rPr>
              <w:t>5.1.5.</w:t>
            </w:r>
            <w:r>
              <w:rPr>
                <w:rFonts w:asciiTheme="minorHAnsi" w:eastAsiaTheme="minorEastAsia" w:hAnsiTheme="minorHAnsi" w:cstheme="minorBidi"/>
                <w:noProof/>
                <w:lang w:val="en-MY" w:eastAsia="zh-CN"/>
              </w:rPr>
              <w:tab/>
            </w:r>
            <w:r w:rsidRPr="00031C90">
              <w:rPr>
                <w:rStyle w:val="Hyperlink"/>
                <w:noProof/>
              </w:rPr>
              <w:t>NDC unconditional target</w:t>
            </w:r>
            <w:r>
              <w:rPr>
                <w:noProof/>
                <w:webHidden/>
              </w:rPr>
              <w:tab/>
            </w:r>
            <w:r>
              <w:rPr>
                <w:noProof/>
                <w:webHidden/>
              </w:rPr>
              <w:fldChar w:fldCharType="begin"/>
            </w:r>
            <w:r>
              <w:rPr>
                <w:noProof/>
                <w:webHidden/>
              </w:rPr>
              <w:instrText xml:space="preserve"> PAGEREF _Toc62221421 \h </w:instrText>
            </w:r>
            <w:r>
              <w:rPr>
                <w:noProof/>
                <w:webHidden/>
              </w:rPr>
            </w:r>
            <w:r>
              <w:rPr>
                <w:noProof/>
                <w:webHidden/>
              </w:rPr>
              <w:fldChar w:fldCharType="separate"/>
            </w:r>
            <w:r>
              <w:rPr>
                <w:noProof/>
                <w:webHidden/>
              </w:rPr>
              <w:t>26</w:t>
            </w:r>
            <w:r>
              <w:rPr>
                <w:noProof/>
                <w:webHidden/>
              </w:rPr>
              <w:fldChar w:fldCharType="end"/>
            </w:r>
          </w:hyperlink>
        </w:p>
        <w:p w14:paraId="58252769" w14:textId="4016995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22" w:history="1">
            <w:r w:rsidRPr="00031C90">
              <w:rPr>
                <w:rStyle w:val="Hyperlink"/>
                <w:noProof/>
              </w:rPr>
              <w:t>5.2.</w:t>
            </w:r>
            <w:r>
              <w:rPr>
                <w:rFonts w:asciiTheme="minorHAnsi" w:eastAsiaTheme="minorEastAsia" w:hAnsiTheme="minorHAnsi" w:cstheme="minorBidi"/>
                <w:noProof/>
                <w:lang w:val="en-MY" w:eastAsia="zh-CN"/>
              </w:rPr>
              <w:tab/>
            </w:r>
            <w:r w:rsidRPr="00031C90">
              <w:rPr>
                <w:rStyle w:val="Hyperlink"/>
                <w:noProof/>
              </w:rPr>
              <w:t>Power generation in the context of SDG 7</w:t>
            </w:r>
            <w:r>
              <w:rPr>
                <w:noProof/>
                <w:webHidden/>
              </w:rPr>
              <w:tab/>
            </w:r>
            <w:r>
              <w:rPr>
                <w:noProof/>
                <w:webHidden/>
              </w:rPr>
              <w:fldChar w:fldCharType="begin"/>
            </w:r>
            <w:r>
              <w:rPr>
                <w:noProof/>
                <w:webHidden/>
              </w:rPr>
              <w:instrText xml:space="preserve"> PAGEREF _Toc62221422 \h </w:instrText>
            </w:r>
            <w:r>
              <w:rPr>
                <w:noProof/>
                <w:webHidden/>
              </w:rPr>
            </w:r>
            <w:r>
              <w:rPr>
                <w:noProof/>
                <w:webHidden/>
              </w:rPr>
              <w:fldChar w:fldCharType="separate"/>
            </w:r>
            <w:r>
              <w:rPr>
                <w:noProof/>
                <w:webHidden/>
              </w:rPr>
              <w:t>27</w:t>
            </w:r>
            <w:r>
              <w:rPr>
                <w:noProof/>
                <w:webHidden/>
              </w:rPr>
              <w:fldChar w:fldCharType="end"/>
            </w:r>
          </w:hyperlink>
        </w:p>
        <w:p w14:paraId="2465C089" w14:textId="2A196FED"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23" w:history="1">
            <w:r w:rsidRPr="00031C90">
              <w:rPr>
                <w:rStyle w:val="Hyperlink"/>
                <w:noProof/>
              </w:rPr>
              <w:t>5.3.</w:t>
            </w:r>
            <w:r>
              <w:rPr>
                <w:rFonts w:asciiTheme="minorHAnsi" w:eastAsiaTheme="minorEastAsia" w:hAnsiTheme="minorHAnsi" w:cstheme="minorBidi"/>
                <w:noProof/>
                <w:lang w:val="en-MY" w:eastAsia="zh-CN"/>
              </w:rPr>
              <w:tab/>
            </w:r>
            <w:r w:rsidRPr="00031C90">
              <w:rPr>
                <w:rStyle w:val="Hyperlink"/>
                <w:noProof/>
              </w:rPr>
              <w:t>Policy actions for achieving SDG 7</w:t>
            </w:r>
            <w:r>
              <w:rPr>
                <w:noProof/>
                <w:webHidden/>
              </w:rPr>
              <w:tab/>
            </w:r>
            <w:r>
              <w:rPr>
                <w:noProof/>
                <w:webHidden/>
              </w:rPr>
              <w:fldChar w:fldCharType="begin"/>
            </w:r>
            <w:r>
              <w:rPr>
                <w:noProof/>
                <w:webHidden/>
              </w:rPr>
              <w:instrText xml:space="preserve"> PAGEREF _Toc62221423 \h </w:instrText>
            </w:r>
            <w:r>
              <w:rPr>
                <w:noProof/>
                <w:webHidden/>
              </w:rPr>
            </w:r>
            <w:r>
              <w:rPr>
                <w:noProof/>
                <w:webHidden/>
              </w:rPr>
              <w:fldChar w:fldCharType="separate"/>
            </w:r>
            <w:r>
              <w:rPr>
                <w:noProof/>
                <w:webHidden/>
              </w:rPr>
              <w:t>29</w:t>
            </w:r>
            <w:r>
              <w:rPr>
                <w:noProof/>
                <w:webHidden/>
              </w:rPr>
              <w:fldChar w:fldCharType="end"/>
            </w:r>
          </w:hyperlink>
        </w:p>
        <w:p w14:paraId="6E9815FE" w14:textId="6491A6A7" w:rsidR="00500FE4" w:rsidRDefault="00500FE4">
          <w:pPr>
            <w:pStyle w:val="TOC3"/>
            <w:tabs>
              <w:tab w:val="right" w:pos="9742"/>
            </w:tabs>
            <w:rPr>
              <w:rFonts w:asciiTheme="minorHAnsi" w:eastAsiaTheme="minorEastAsia" w:hAnsiTheme="minorHAnsi" w:cstheme="minorBidi"/>
              <w:noProof/>
              <w:lang w:val="en-MY" w:eastAsia="zh-CN"/>
            </w:rPr>
          </w:pPr>
          <w:hyperlink w:anchor="_Toc62221424" w:history="1">
            <w:r w:rsidRPr="00031C90">
              <w:rPr>
                <w:rStyle w:val="Hyperlink"/>
                <w:noProof/>
              </w:rPr>
              <w:t>5.3.1. Decentralized renewable energy for rural electrification</w:t>
            </w:r>
            <w:r>
              <w:rPr>
                <w:noProof/>
                <w:webHidden/>
              </w:rPr>
              <w:tab/>
            </w:r>
            <w:r>
              <w:rPr>
                <w:noProof/>
                <w:webHidden/>
              </w:rPr>
              <w:fldChar w:fldCharType="begin"/>
            </w:r>
            <w:r>
              <w:rPr>
                <w:noProof/>
                <w:webHidden/>
              </w:rPr>
              <w:instrText xml:space="preserve"> PAGEREF _Toc62221424 \h </w:instrText>
            </w:r>
            <w:r>
              <w:rPr>
                <w:noProof/>
                <w:webHidden/>
              </w:rPr>
            </w:r>
            <w:r>
              <w:rPr>
                <w:noProof/>
                <w:webHidden/>
              </w:rPr>
              <w:fldChar w:fldCharType="separate"/>
            </w:r>
            <w:r>
              <w:rPr>
                <w:noProof/>
                <w:webHidden/>
              </w:rPr>
              <w:t>29</w:t>
            </w:r>
            <w:r>
              <w:rPr>
                <w:noProof/>
                <w:webHidden/>
              </w:rPr>
              <w:fldChar w:fldCharType="end"/>
            </w:r>
          </w:hyperlink>
        </w:p>
        <w:p w14:paraId="5B90A363" w14:textId="60C5915D" w:rsidR="00500FE4" w:rsidRDefault="00500FE4">
          <w:pPr>
            <w:pStyle w:val="TOC3"/>
            <w:tabs>
              <w:tab w:val="right" w:pos="9742"/>
            </w:tabs>
            <w:rPr>
              <w:rFonts w:asciiTheme="minorHAnsi" w:eastAsiaTheme="minorEastAsia" w:hAnsiTheme="minorHAnsi" w:cstheme="minorBidi"/>
              <w:noProof/>
              <w:lang w:val="en-MY" w:eastAsia="zh-CN"/>
            </w:rPr>
          </w:pPr>
          <w:hyperlink w:anchor="_Toc62221425" w:history="1">
            <w:r w:rsidRPr="00031C90">
              <w:rPr>
                <w:rStyle w:val="Hyperlink"/>
                <w:noProof/>
              </w:rPr>
              <w:t>5.3.2. Promoting electric cooking stoves to achieve cost-effective universal access to clean cooking</w:t>
            </w:r>
            <w:r>
              <w:rPr>
                <w:noProof/>
                <w:webHidden/>
              </w:rPr>
              <w:tab/>
            </w:r>
            <w:r>
              <w:rPr>
                <w:noProof/>
                <w:webHidden/>
              </w:rPr>
              <w:fldChar w:fldCharType="begin"/>
            </w:r>
            <w:r>
              <w:rPr>
                <w:noProof/>
                <w:webHidden/>
              </w:rPr>
              <w:instrText xml:space="preserve"> PAGEREF _Toc62221425 \h </w:instrText>
            </w:r>
            <w:r>
              <w:rPr>
                <w:noProof/>
                <w:webHidden/>
              </w:rPr>
            </w:r>
            <w:r>
              <w:rPr>
                <w:noProof/>
                <w:webHidden/>
              </w:rPr>
              <w:fldChar w:fldCharType="separate"/>
            </w:r>
            <w:r>
              <w:rPr>
                <w:noProof/>
                <w:webHidden/>
              </w:rPr>
              <w:t>29</w:t>
            </w:r>
            <w:r>
              <w:rPr>
                <w:noProof/>
                <w:webHidden/>
              </w:rPr>
              <w:fldChar w:fldCharType="end"/>
            </w:r>
          </w:hyperlink>
        </w:p>
        <w:p w14:paraId="56D8FF61" w14:textId="497B94CD" w:rsidR="00500FE4" w:rsidRDefault="00500FE4">
          <w:pPr>
            <w:pStyle w:val="TOC3"/>
            <w:tabs>
              <w:tab w:val="right" w:pos="9742"/>
            </w:tabs>
            <w:rPr>
              <w:rFonts w:asciiTheme="minorHAnsi" w:eastAsiaTheme="minorEastAsia" w:hAnsiTheme="minorHAnsi" w:cstheme="minorBidi"/>
              <w:noProof/>
              <w:lang w:val="en-MY" w:eastAsia="zh-CN"/>
            </w:rPr>
          </w:pPr>
          <w:hyperlink w:anchor="_Toc62221426" w:history="1">
            <w:r w:rsidRPr="00031C90">
              <w:rPr>
                <w:rStyle w:val="Hyperlink"/>
                <w:noProof/>
              </w:rPr>
              <w:t>5.3.3. Energy efficiency improvement offers significant cost-saving</w:t>
            </w:r>
            <w:r>
              <w:rPr>
                <w:noProof/>
                <w:webHidden/>
              </w:rPr>
              <w:tab/>
            </w:r>
            <w:r>
              <w:rPr>
                <w:noProof/>
                <w:webHidden/>
              </w:rPr>
              <w:fldChar w:fldCharType="begin"/>
            </w:r>
            <w:r>
              <w:rPr>
                <w:noProof/>
                <w:webHidden/>
              </w:rPr>
              <w:instrText xml:space="preserve"> PAGEREF _Toc62221426 \h </w:instrText>
            </w:r>
            <w:r>
              <w:rPr>
                <w:noProof/>
                <w:webHidden/>
              </w:rPr>
            </w:r>
            <w:r>
              <w:rPr>
                <w:noProof/>
                <w:webHidden/>
              </w:rPr>
              <w:fldChar w:fldCharType="separate"/>
            </w:r>
            <w:r>
              <w:rPr>
                <w:noProof/>
                <w:webHidden/>
              </w:rPr>
              <w:t>31</w:t>
            </w:r>
            <w:r>
              <w:rPr>
                <w:noProof/>
                <w:webHidden/>
              </w:rPr>
              <w:fldChar w:fldCharType="end"/>
            </w:r>
          </w:hyperlink>
        </w:p>
        <w:p w14:paraId="5DCA1416" w14:textId="1FBB4F41" w:rsidR="00500FE4" w:rsidRDefault="00500FE4">
          <w:pPr>
            <w:pStyle w:val="TOC3"/>
            <w:tabs>
              <w:tab w:val="right" w:pos="9742"/>
            </w:tabs>
            <w:rPr>
              <w:rFonts w:asciiTheme="minorHAnsi" w:eastAsiaTheme="minorEastAsia" w:hAnsiTheme="minorHAnsi" w:cstheme="minorBidi"/>
              <w:noProof/>
              <w:lang w:val="en-MY" w:eastAsia="zh-CN"/>
            </w:rPr>
          </w:pPr>
          <w:hyperlink w:anchor="_Toc62221427" w:history="1">
            <w:r w:rsidRPr="00031C90">
              <w:rPr>
                <w:rStyle w:val="Hyperlink"/>
                <w:noProof/>
              </w:rPr>
              <w:t>5.3.4. Multi-sectoral approach needed to achieve the renewable energy target</w:t>
            </w:r>
            <w:r>
              <w:rPr>
                <w:noProof/>
                <w:webHidden/>
              </w:rPr>
              <w:tab/>
            </w:r>
            <w:r>
              <w:rPr>
                <w:noProof/>
                <w:webHidden/>
              </w:rPr>
              <w:fldChar w:fldCharType="begin"/>
            </w:r>
            <w:r>
              <w:rPr>
                <w:noProof/>
                <w:webHidden/>
              </w:rPr>
              <w:instrText xml:space="preserve"> PAGEREF _Toc62221427 \h </w:instrText>
            </w:r>
            <w:r>
              <w:rPr>
                <w:noProof/>
                <w:webHidden/>
              </w:rPr>
            </w:r>
            <w:r>
              <w:rPr>
                <w:noProof/>
                <w:webHidden/>
              </w:rPr>
              <w:fldChar w:fldCharType="separate"/>
            </w:r>
            <w:r>
              <w:rPr>
                <w:noProof/>
                <w:webHidden/>
              </w:rPr>
              <w:t>32</w:t>
            </w:r>
            <w:r>
              <w:rPr>
                <w:noProof/>
                <w:webHidden/>
              </w:rPr>
              <w:fldChar w:fldCharType="end"/>
            </w:r>
          </w:hyperlink>
        </w:p>
        <w:p w14:paraId="2C7186C1" w14:textId="40B891BE" w:rsidR="00500FE4" w:rsidRDefault="00500FE4">
          <w:pPr>
            <w:pStyle w:val="TOC3"/>
            <w:tabs>
              <w:tab w:val="right" w:pos="9742"/>
            </w:tabs>
            <w:rPr>
              <w:rFonts w:asciiTheme="minorHAnsi" w:eastAsiaTheme="minorEastAsia" w:hAnsiTheme="minorHAnsi" w:cstheme="minorBidi"/>
              <w:noProof/>
              <w:lang w:val="en-MY" w:eastAsia="zh-CN"/>
            </w:rPr>
          </w:pPr>
          <w:hyperlink w:anchor="_Toc62221428" w:history="1">
            <w:r w:rsidRPr="00031C90">
              <w:rPr>
                <w:rStyle w:val="Hyperlink"/>
                <w:noProof/>
              </w:rPr>
              <w:t>5.3.5. Investment in the power sector is needed for the energy transition</w:t>
            </w:r>
            <w:r>
              <w:rPr>
                <w:noProof/>
                <w:webHidden/>
              </w:rPr>
              <w:tab/>
            </w:r>
            <w:r>
              <w:rPr>
                <w:noProof/>
                <w:webHidden/>
              </w:rPr>
              <w:fldChar w:fldCharType="begin"/>
            </w:r>
            <w:r>
              <w:rPr>
                <w:noProof/>
                <w:webHidden/>
              </w:rPr>
              <w:instrText xml:space="preserve"> PAGEREF _Toc62221428 \h </w:instrText>
            </w:r>
            <w:r>
              <w:rPr>
                <w:noProof/>
                <w:webHidden/>
              </w:rPr>
            </w:r>
            <w:r>
              <w:rPr>
                <w:noProof/>
                <w:webHidden/>
              </w:rPr>
              <w:fldChar w:fldCharType="separate"/>
            </w:r>
            <w:r>
              <w:rPr>
                <w:noProof/>
                <w:webHidden/>
              </w:rPr>
              <w:t>32</w:t>
            </w:r>
            <w:r>
              <w:rPr>
                <w:noProof/>
                <w:webHidden/>
              </w:rPr>
              <w:fldChar w:fldCharType="end"/>
            </w:r>
          </w:hyperlink>
        </w:p>
        <w:p w14:paraId="1A4B7022" w14:textId="476DD455" w:rsidR="00500FE4" w:rsidRDefault="00500FE4">
          <w:pPr>
            <w:pStyle w:val="TOC3"/>
            <w:tabs>
              <w:tab w:val="right" w:pos="9742"/>
            </w:tabs>
            <w:rPr>
              <w:rFonts w:asciiTheme="minorHAnsi" w:eastAsiaTheme="minorEastAsia" w:hAnsiTheme="minorHAnsi" w:cstheme="minorBidi"/>
              <w:noProof/>
              <w:lang w:val="en-MY" w:eastAsia="zh-CN"/>
            </w:rPr>
          </w:pPr>
          <w:hyperlink w:anchor="_Toc62221429" w:history="1">
            <w:r w:rsidRPr="00031C90">
              <w:rPr>
                <w:rStyle w:val="Hyperlink"/>
                <w:noProof/>
              </w:rPr>
              <w:t>5.3.6. Net benefits in the power sector</w:t>
            </w:r>
            <w:r>
              <w:rPr>
                <w:noProof/>
                <w:webHidden/>
              </w:rPr>
              <w:tab/>
            </w:r>
            <w:r>
              <w:rPr>
                <w:noProof/>
                <w:webHidden/>
              </w:rPr>
              <w:fldChar w:fldCharType="begin"/>
            </w:r>
            <w:r>
              <w:rPr>
                <w:noProof/>
                <w:webHidden/>
              </w:rPr>
              <w:instrText xml:space="preserve"> PAGEREF _Toc62221429 \h </w:instrText>
            </w:r>
            <w:r>
              <w:rPr>
                <w:noProof/>
                <w:webHidden/>
              </w:rPr>
            </w:r>
            <w:r>
              <w:rPr>
                <w:noProof/>
                <w:webHidden/>
              </w:rPr>
              <w:fldChar w:fldCharType="separate"/>
            </w:r>
            <w:r>
              <w:rPr>
                <w:noProof/>
                <w:webHidden/>
              </w:rPr>
              <w:t>34</w:t>
            </w:r>
            <w:r>
              <w:rPr>
                <w:noProof/>
                <w:webHidden/>
              </w:rPr>
              <w:fldChar w:fldCharType="end"/>
            </w:r>
          </w:hyperlink>
        </w:p>
        <w:p w14:paraId="5B198FE8" w14:textId="555A5E5F" w:rsidR="00500FE4" w:rsidRDefault="00500FE4">
          <w:pPr>
            <w:pStyle w:val="TOC3"/>
            <w:tabs>
              <w:tab w:val="right" w:pos="9742"/>
            </w:tabs>
            <w:rPr>
              <w:rFonts w:asciiTheme="minorHAnsi" w:eastAsiaTheme="minorEastAsia" w:hAnsiTheme="minorHAnsi" w:cstheme="minorBidi"/>
              <w:noProof/>
              <w:lang w:val="en-MY" w:eastAsia="zh-CN"/>
            </w:rPr>
          </w:pPr>
          <w:hyperlink w:anchor="_Toc62221430" w:history="1">
            <w:r w:rsidRPr="00031C90">
              <w:rPr>
                <w:rStyle w:val="Hyperlink"/>
                <w:noProof/>
              </w:rPr>
              <w:t>5.3.7. Renewables are cheaper than fossil fuel</w:t>
            </w:r>
            <w:r>
              <w:rPr>
                <w:noProof/>
                <w:webHidden/>
              </w:rPr>
              <w:tab/>
            </w:r>
            <w:r>
              <w:rPr>
                <w:noProof/>
                <w:webHidden/>
              </w:rPr>
              <w:fldChar w:fldCharType="begin"/>
            </w:r>
            <w:r>
              <w:rPr>
                <w:noProof/>
                <w:webHidden/>
              </w:rPr>
              <w:instrText xml:space="preserve"> PAGEREF _Toc62221430 \h </w:instrText>
            </w:r>
            <w:r>
              <w:rPr>
                <w:noProof/>
                <w:webHidden/>
              </w:rPr>
            </w:r>
            <w:r>
              <w:rPr>
                <w:noProof/>
                <w:webHidden/>
              </w:rPr>
              <w:fldChar w:fldCharType="separate"/>
            </w:r>
            <w:r>
              <w:rPr>
                <w:noProof/>
                <w:webHidden/>
              </w:rPr>
              <w:t>34</w:t>
            </w:r>
            <w:r>
              <w:rPr>
                <w:noProof/>
                <w:webHidden/>
              </w:rPr>
              <w:fldChar w:fldCharType="end"/>
            </w:r>
          </w:hyperlink>
        </w:p>
        <w:p w14:paraId="7EB2A306" w14:textId="71A75541"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431" w:history="1">
            <w:r w:rsidRPr="00031C90">
              <w:rPr>
                <w:rStyle w:val="Hyperlink"/>
                <w:noProof/>
              </w:rPr>
              <w:t>6.</w:t>
            </w:r>
            <w:r>
              <w:rPr>
                <w:rFonts w:asciiTheme="minorHAnsi" w:eastAsiaTheme="minorEastAsia" w:hAnsiTheme="minorHAnsi" w:cstheme="minorBidi"/>
                <w:noProof/>
                <w:lang w:val="en-MY" w:eastAsia="zh-CN"/>
              </w:rPr>
              <w:tab/>
            </w:r>
            <w:r w:rsidRPr="00031C90">
              <w:rPr>
                <w:rStyle w:val="Hyperlink"/>
                <w:noProof/>
              </w:rPr>
              <w:t>Energy transition pathways with increased ambitions</w:t>
            </w:r>
            <w:r>
              <w:rPr>
                <w:noProof/>
                <w:webHidden/>
              </w:rPr>
              <w:tab/>
            </w:r>
            <w:r>
              <w:rPr>
                <w:noProof/>
                <w:webHidden/>
              </w:rPr>
              <w:fldChar w:fldCharType="begin"/>
            </w:r>
            <w:r>
              <w:rPr>
                <w:noProof/>
                <w:webHidden/>
              </w:rPr>
              <w:instrText xml:space="preserve"> PAGEREF _Toc62221431 \h </w:instrText>
            </w:r>
            <w:r>
              <w:rPr>
                <w:noProof/>
                <w:webHidden/>
              </w:rPr>
            </w:r>
            <w:r>
              <w:rPr>
                <w:noProof/>
                <w:webHidden/>
              </w:rPr>
              <w:fldChar w:fldCharType="separate"/>
            </w:r>
            <w:r>
              <w:rPr>
                <w:noProof/>
                <w:webHidden/>
              </w:rPr>
              <w:t>37</w:t>
            </w:r>
            <w:r>
              <w:rPr>
                <w:noProof/>
                <w:webHidden/>
              </w:rPr>
              <w:fldChar w:fldCharType="end"/>
            </w:r>
          </w:hyperlink>
        </w:p>
        <w:p w14:paraId="26252507" w14:textId="6422FAC0"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2" w:history="1">
            <w:r w:rsidRPr="00031C90">
              <w:rPr>
                <w:rStyle w:val="Hyperlink"/>
                <w:noProof/>
              </w:rPr>
              <w:t>6.1.</w:t>
            </w:r>
            <w:r>
              <w:rPr>
                <w:rFonts w:asciiTheme="minorHAnsi" w:eastAsiaTheme="minorEastAsia" w:hAnsiTheme="minorHAnsi" w:cstheme="minorBidi"/>
                <w:noProof/>
                <w:lang w:val="en-MY" w:eastAsia="zh-CN"/>
              </w:rPr>
              <w:tab/>
            </w:r>
            <w:r w:rsidRPr="00031C90">
              <w:rPr>
                <w:rStyle w:val="Hyperlink"/>
                <w:noProof/>
              </w:rPr>
              <w:t>Scenario ranking</w:t>
            </w:r>
            <w:r>
              <w:rPr>
                <w:noProof/>
                <w:webHidden/>
              </w:rPr>
              <w:tab/>
            </w:r>
            <w:r>
              <w:rPr>
                <w:noProof/>
                <w:webHidden/>
              </w:rPr>
              <w:fldChar w:fldCharType="begin"/>
            </w:r>
            <w:r>
              <w:rPr>
                <w:noProof/>
                <w:webHidden/>
              </w:rPr>
              <w:instrText xml:space="preserve"> PAGEREF _Toc62221432 \h </w:instrText>
            </w:r>
            <w:r>
              <w:rPr>
                <w:noProof/>
                <w:webHidden/>
              </w:rPr>
            </w:r>
            <w:r>
              <w:rPr>
                <w:noProof/>
                <w:webHidden/>
              </w:rPr>
              <w:fldChar w:fldCharType="separate"/>
            </w:r>
            <w:r>
              <w:rPr>
                <w:noProof/>
                <w:webHidden/>
              </w:rPr>
              <w:t>38</w:t>
            </w:r>
            <w:r>
              <w:rPr>
                <w:noProof/>
                <w:webHidden/>
              </w:rPr>
              <w:fldChar w:fldCharType="end"/>
            </w:r>
          </w:hyperlink>
        </w:p>
        <w:p w14:paraId="7A0A3D27" w14:textId="6EE7D52F"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3" w:history="1">
            <w:r w:rsidRPr="00031C90">
              <w:rPr>
                <w:rStyle w:val="Hyperlink"/>
                <w:noProof/>
              </w:rPr>
              <w:t>6.2.</w:t>
            </w:r>
            <w:r>
              <w:rPr>
                <w:rFonts w:asciiTheme="minorHAnsi" w:eastAsiaTheme="minorEastAsia" w:hAnsiTheme="minorHAnsi" w:cstheme="minorBidi"/>
                <w:noProof/>
                <w:lang w:val="en-MY" w:eastAsia="zh-CN"/>
              </w:rPr>
              <w:tab/>
            </w:r>
            <w:r w:rsidRPr="00031C90">
              <w:rPr>
                <w:rStyle w:val="Hyperlink"/>
                <w:noProof/>
              </w:rPr>
              <w:t>Raising ambition – enhancing the NDC target and achieving SDG 7</w:t>
            </w:r>
            <w:r>
              <w:rPr>
                <w:noProof/>
                <w:webHidden/>
              </w:rPr>
              <w:tab/>
            </w:r>
            <w:r>
              <w:rPr>
                <w:noProof/>
                <w:webHidden/>
              </w:rPr>
              <w:fldChar w:fldCharType="begin"/>
            </w:r>
            <w:r>
              <w:rPr>
                <w:noProof/>
                <w:webHidden/>
              </w:rPr>
              <w:instrText xml:space="preserve"> PAGEREF _Toc62221433 \h </w:instrText>
            </w:r>
            <w:r>
              <w:rPr>
                <w:noProof/>
                <w:webHidden/>
              </w:rPr>
            </w:r>
            <w:r>
              <w:rPr>
                <w:noProof/>
                <w:webHidden/>
              </w:rPr>
              <w:fldChar w:fldCharType="separate"/>
            </w:r>
            <w:r>
              <w:rPr>
                <w:noProof/>
                <w:webHidden/>
              </w:rPr>
              <w:t>40</w:t>
            </w:r>
            <w:r>
              <w:rPr>
                <w:noProof/>
                <w:webHidden/>
              </w:rPr>
              <w:fldChar w:fldCharType="end"/>
            </w:r>
          </w:hyperlink>
        </w:p>
        <w:p w14:paraId="75D90989" w14:textId="59B7034C"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4" w:history="1">
            <w:r w:rsidRPr="00031C90">
              <w:rPr>
                <w:rStyle w:val="Hyperlink"/>
                <w:noProof/>
              </w:rPr>
              <w:t>6.3.</w:t>
            </w:r>
            <w:r>
              <w:rPr>
                <w:rFonts w:asciiTheme="minorHAnsi" w:eastAsiaTheme="minorEastAsia" w:hAnsiTheme="minorHAnsi" w:cstheme="minorBidi"/>
                <w:noProof/>
                <w:lang w:val="en-MY" w:eastAsia="zh-CN"/>
              </w:rPr>
              <w:tab/>
            </w:r>
            <w:r w:rsidRPr="00031C90">
              <w:rPr>
                <w:rStyle w:val="Hyperlink"/>
                <w:noProof/>
              </w:rPr>
              <w:t>No new investment in coal-based power generation</w:t>
            </w:r>
            <w:r>
              <w:rPr>
                <w:noProof/>
                <w:webHidden/>
              </w:rPr>
              <w:tab/>
            </w:r>
            <w:r>
              <w:rPr>
                <w:noProof/>
                <w:webHidden/>
              </w:rPr>
              <w:fldChar w:fldCharType="begin"/>
            </w:r>
            <w:r>
              <w:rPr>
                <w:noProof/>
                <w:webHidden/>
              </w:rPr>
              <w:instrText xml:space="preserve"> PAGEREF _Toc62221434 \h </w:instrText>
            </w:r>
            <w:r>
              <w:rPr>
                <w:noProof/>
                <w:webHidden/>
              </w:rPr>
            </w:r>
            <w:r>
              <w:rPr>
                <w:noProof/>
                <w:webHidden/>
              </w:rPr>
              <w:fldChar w:fldCharType="separate"/>
            </w:r>
            <w:r>
              <w:rPr>
                <w:noProof/>
                <w:webHidden/>
              </w:rPr>
              <w:t>41</w:t>
            </w:r>
            <w:r>
              <w:rPr>
                <w:noProof/>
                <w:webHidden/>
              </w:rPr>
              <w:fldChar w:fldCharType="end"/>
            </w:r>
          </w:hyperlink>
        </w:p>
        <w:p w14:paraId="224FBD17" w14:textId="14B7BEEA" w:rsidR="00500FE4" w:rsidRDefault="00500FE4">
          <w:pPr>
            <w:pStyle w:val="TOC3"/>
            <w:tabs>
              <w:tab w:val="left" w:pos="1200"/>
              <w:tab w:val="right" w:pos="9742"/>
            </w:tabs>
            <w:rPr>
              <w:rFonts w:asciiTheme="minorHAnsi" w:eastAsiaTheme="minorEastAsia" w:hAnsiTheme="minorHAnsi" w:cstheme="minorBidi"/>
              <w:noProof/>
              <w:lang w:val="en-MY" w:eastAsia="zh-CN"/>
            </w:rPr>
          </w:pPr>
          <w:hyperlink w:anchor="_Toc62221435" w:history="1">
            <w:r w:rsidRPr="00031C90">
              <w:rPr>
                <w:rStyle w:val="Hyperlink"/>
                <w:noProof/>
              </w:rPr>
              <w:t>6.3.4.</w:t>
            </w:r>
            <w:r>
              <w:rPr>
                <w:rFonts w:asciiTheme="minorHAnsi" w:eastAsiaTheme="minorEastAsia" w:hAnsiTheme="minorHAnsi" w:cstheme="minorBidi"/>
                <w:noProof/>
                <w:lang w:val="en-MY" w:eastAsia="zh-CN"/>
              </w:rPr>
              <w:tab/>
            </w:r>
            <w:r w:rsidRPr="00031C90">
              <w:rPr>
                <w:rStyle w:val="Hyperlink"/>
                <w:noProof/>
              </w:rPr>
              <w:t>Carbon capture and storage for coal-fired power plants in Indonesia</w:t>
            </w:r>
            <w:r>
              <w:rPr>
                <w:noProof/>
                <w:webHidden/>
              </w:rPr>
              <w:tab/>
            </w:r>
            <w:r>
              <w:rPr>
                <w:noProof/>
                <w:webHidden/>
              </w:rPr>
              <w:fldChar w:fldCharType="begin"/>
            </w:r>
            <w:r>
              <w:rPr>
                <w:noProof/>
                <w:webHidden/>
              </w:rPr>
              <w:instrText xml:space="preserve"> PAGEREF _Toc62221435 \h </w:instrText>
            </w:r>
            <w:r>
              <w:rPr>
                <w:noProof/>
                <w:webHidden/>
              </w:rPr>
            </w:r>
            <w:r>
              <w:rPr>
                <w:noProof/>
                <w:webHidden/>
              </w:rPr>
              <w:fldChar w:fldCharType="separate"/>
            </w:r>
            <w:r>
              <w:rPr>
                <w:noProof/>
                <w:webHidden/>
              </w:rPr>
              <w:t>42</w:t>
            </w:r>
            <w:r>
              <w:rPr>
                <w:noProof/>
                <w:webHidden/>
              </w:rPr>
              <w:fldChar w:fldCharType="end"/>
            </w:r>
          </w:hyperlink>
        </w:p>
        <w:p w14:paraId="6815D99E" w14:textId="1EB44E27"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6" w:history="1">
            <w:r w:rsidRPr="00031C90">
              <w:rPr>
                <w:rStyle w:val="Hyperlink"/>
                <w:noProof/>
              </w:rPr>
              <w:t>6.4.</w:t>
            </w:r>
            <w:r>
              <w:rPr>
                <w:rFonts w:asciiTheme="minorHAnsi" w:eastAsiaTheme="minorEastAsia" w:hAnsiTheme="minorHAnsi" w:cstheme="minorBidi"/>
                <w:noProof/>
                <w:lang w:val="en-MY" w:eastAsia="zh-CN"/>
              </w:rPr>
              <w:tab/>
            </w:r>
            <w:r w:rsidRPr="00031C90">
              <w:rPr>
                <w:rStyle w:val="Hyperlink"/>
                <w:noProof/>
              </w:rPr>
              <w:t>Putting a price on carbon will help to reduce investment gap</w:t>
            </w:r>
            <w:r>
              <w:rPr>
                <w:noProof/>
                <w:webHidden/>
              </w:rPr>
              <w:tab/>
            </w:r>
            <w:r>
              <w:rPr>
                <w:noProof/>
                <w:webHidden/>
              </w:rPr>
              <w:fldChar w:fldCharType="begin"/>
            </w:r>
            <w:r>
              <w:rPr>
                <w:noProof/>
                <w:webHidden/>
              </w:rPr>
              <w:instrText xml:space="preserve"> PAGEREF _Toc62221436 \h </w:instrText>
            </w:r>
            <w:r>
              <w:rPr>
                <w:noProof/>
                <w:webHidden/>
              </w:rPr>
            </w:r>
            <w:r>
              <w:rPr>
                <w:noProof/>
                <w:webHidden/>
              </w:rPr>
              <w:fldChar w:fldCharType="separate"/>
            </w:r>
            <w:r>
              <w:rPr>
                <w:noProof/>
                <w:webHidden/>
              </w:rPr>
              <w:t>43</w:t>
            </w:r>
            <w:r>
              <w:rPr>
                <w:noProof/>
                <w:webHidden/>
              </w:rPr>
              <w:fldChar w:fldCharType="end"/>
            </w:r>
          </w:hyperlink>
        </w:p>
        <w:p w14:paraId="294A806E" w14:textId="559E5FA1"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7" w:history="1">
            <w:r w:rsidRPr="00031C90">
              <w:rPr>
                <w:rStyle w:val="Hyperlink"/>
                <w:noProof/>
              </w:rPr>
              <w:t>6.5.</w:t>
            </w:r>
            <w:r>
              <w:rPr>
                <w:rFonts w:asciiTheme="minorHAnsi" w:eastAsiaTheme="minorEastAsia" w:hAnsiTheme="minorHAnsi" w:cstheme="minorBidi"/>
                <w:noProof/>
                <w:lang w:val="en-MY" w:eastAsia="zh-CN"/>
              </w:rPr>
              <w:tab/>
            </w:r>
            <w:r w:rsidRPr="00031C90">
              <w:rPr>
                <w:rStyle w:val="Hyperlink"/>
                <w:noProof/>
              </w:rPr>
              <w:t>Phasing out the fossil fuel subsidy will level the playing field for renewables</w:t>
            </w:r>
            <w:r>
              <w:rPr>
                <w:noProof/>
                <w:webHidden/>
              </w:rPr>
              <w:tab/>
            </w:r>
            <w:r>
              <w:rPr>
                <w:noProof/>
                <w:webHidden/>
              </w:rPr>
              <w:fldChar w:fldCharType="begin"/>
            </w:r>
            <w:r>
              <w:rPr>
                <w:noProof/>
                <w:webHidden/>
              </w:rPr>
              <w:instrText xml:space="preserve"> PAGEREF _Toc62221437 \h </w:instrText>
            </w:r>
            <w:r>
              <w:rPr>
                <w:noProof/>
                <w:webHidden/>
              </w:rPr>
            </w:r>
            <w:r>
              <w:rPr>
                <w:noProof/>
                <w:webHidden/>
              </w:rPr>
              <w:fldChar w:fldCharType="separate"/>
            </w:r>
            <w:r>
              <w:rPr>
                <w:noProof/>
                <w:webHidden/>
              </w:rPr>
              <w:t>43</w:t>
            </w:r>
            <w:r>
              <w:rPr>
                <w:noProof/>
                <w:webHidden/>
              </w:rPr>
              <w:fldChar w:fldCharType="end"/>
            </w:r>
          </w:hyperlink>
        </w:p>
        <w:p w14:paraId="2A2DC35F" w14:textId="4925D6B5"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8" w:history="1">
            <w:r w:rsidRPr="00031C90">
              <w:rPr>
                <w:rStyle w:val="Hyperlink"/>
                <w:noProof/>
              </w:rPr>
              <w:t>6.6.</w:t>
            </w:r>
            <w:r>
              <w:rPr>
                <w:rFonts w:asciiTheme="minorHAnsi" w:eastAsiaTheme="minorEastAsia" w:hAnsiTheme="minorHAnsi" w:cstheme="minorBidi"/>
                <w:noProof/>
                <w:lang w:val="en-MY" w:eastAsia="zh-CN"/>
              </w:rPr>
              <w:tab/>
            </w:r>
            <w:r w:rsidRPr="00031C90">
              <w:rPr>
                <w:rStyle w:val="Hyperlink"/>
                <w:noProof/>
              </w:rPr>
              <w:t>Green financing</w:t>
            </w:r>
            <w:r>
              <w:rPr>
                <w:noProof/>
                <w:webHidden/>
              </w:rPr>
              <w:tab/>
            </w:r>
            <w:r>
              <w:rPr>
                <w:noProof/>
                <w:webHidden/>
              </w:rPr>
              <w:fldChar w:fldCharType="begin"/>
            </w:r>
            <w:r>
              <w:rPr>
                <w:noProof/>
                <w:webHidden/>
              </w:rPr>
              <w:instrText xml:space="preserve"> PAGEREF _Toc62221438 \h </w:instrText>
            </w:r>
            <w:r>
              <w:rPr>
                <w:noProof/>
                <w:webHidden/>
              </w:rPr>
            </w:r>
            <w:r>
              <w:rPr>
                <w:noProof/>
                <w:webHidden/>
              </w:rPr>
              <w:fldChar w:fldCharType="separate"/>
            </w:r>
            <w:r>
              <w:rPr>
                <w:noProof/>
                <w:webHidden/>
              </w:rPr>
              <w:t>44</w:t>
            </w:r>
            <w:r>
              <w:rPr>
                <w:noProof/>
                <w:webHidden/>
              </w:rPr>
              <w:fldChar w:fldCharType="end"/>
            </w:r>
          </w:hyperlink>
        </w:p>
        <w:p w14:paraId="38ACCAF6" w14:textId="526B393E"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39" w:history="1">
            <w:r w:rsidRPr="00031C90">
              <w:rPr>
                <w:rStyle w:val="Hyperlink"/>
                <w:noProof/>
              </w:rPr>
              <w:t>6.7.</w:t>
            </w:r>
            <w:r>
              <w:rPr>
                <w:rFonts w:asciiTheme="minorHAnsi" w:eastAsiaTheme="minorEastAsia" w:hAnsiTheme="minorHAnsi" w:cstheme="minorBidi"/>
                <w:noProof/>
                <w:lang w:val="en-MY" w:eastAsia="zh-CN"/>
              </w:rPr>
              <w:tab/>
            </w:r>
            <w:r w:rsidRPr="00031C90">
              <w:rPr>
                <w:rStyle w:val="Hyperlink"/>
                <w:noProof/>
              </w:rPr>
              <w:t>A holistic approach to reducing the investment gap</w:t>
            </w:r>
            <w:r>
              <w:rPr>
                <w:noProof/>
                <w:webHidden/>
              </w:rPr>
              <w:tab/>
            </w:r>
            <w:r>
              <w:rPr>
                <w:noProof/>
                <w:webHidden/>
              </w:rPr>
              <w:fldChar w:fldCharType="begin"/>
            </w:r>
            <w:r>
              <w:rPr>
                <w:noProof/>
                <w:webHidden/>
              </w:rPr>
              <w:instrText xml:space="preserve"> PAGEREF _Toc62221439 \h </w:instrText>
            </w:r>
            <w:r>
              <w:rPr>
                <w:noProof/>
                <w:webHidden/>
              </w:rPr>
            </w:r>
            <w:r>
              <w:rPr>
                <w:noProof/>
                <w:webHidden/>
              </w:rPr>
              <w:fldChar w:fldCharType="separate"/>
            </w:r>
            <w:r>
              <w:rPr>
                <w:noProof/>
                <w:webHidden/>
              </w:rPr>
              <w:t>45</w:t>
            </w:r>
            <w:r>
              <w:rPr>
                <w:noProof/>
                <w:webHidden/>
              </w:rPr>
              <w:fldChar w:fldCharType="end"/>
            </w:r>
          </w:hyperlink>
        </w:p>
        <w:p w14:paraId="57F302BA" w14:textId="7CD4C773"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40" w:history="1">
            <w:r w:rsidRPr="00031C90">
              <w:rPr>
                <w:rStyle w:val="Hyperlink"/>
                <w:noProof/>
              </w:rPr>
              <w:t>6.8.</w:t>
            </w:r>
            <w:r>
              <w:rPr>
                <w:rFonts w:asciiTheme="minorHAnsi" w:eastAsiaTheme="minorEastAsia" w:hAnsiTheme="minorHAnsi" w:cstheme="minorBidi"/>
                <w:noProof/>
                <w:lang w:val="en-MY" w:eastAsia="zh-CN"/>
              </w:rPr>
              <w:tab/>
            </w:r>
            <w:r w:rsidRPr="00031C90">
              <w:rPr>
                <w:rStyle w:val="Hyperlink"/>
                <w:noProof/>
              </w:rPr>
              <w:t>Improving energy efficiency beyond the SDG 7 target</w:t>
            </w:r>
            <w:r>
              <w:rPr>
                <w:noProof/>
                <w:webHidden/>
              </w:rPr>
              <w:tab/>
            </w:r>
            <w:r>
              <w:rPr>
                <w:noProof/>
                <w:webHidden/>
              </w:rPr>
              <w:fldChar w:fldCharType="begin"/>
            </w:r>
            <w:r>
              <w:rPr>
                <w:noProof/>
                <w:webHidden/>
              </w:rPr>
              <w:instrText xml:space="preserve"> PAGEREF _Toc62221440 \h </w:instrText>
            </w:r>
            <w:r>
              <w:rPr>
                <w:noProof/>
                <w:webHidden/>
              </w:rPr>
            </w:r>
            <w:r>
              <w:rPr>
                <w:noProof/>
                <w:webHidden/>
              </w:rPr>
              <w:fldChar w:fldCharType="separate"/>
            </w:r>
            <w:r>
              <w:rPr>
                <w:noProof/>
                <w:webHidden/>
              </w:rPr>
              <w:t>46</w:t>
            </w:r>
            <w:r>
              <w:rPr>
                <w:noProof/>
                <w:webHidden/>
              </w:rPr>
              <w:fldChar w:fldCharType="end"/>
            </w:r>
          </w:hyperlink>
        </w:p>
        <w:p w14:paraId="20BC7EBA" w14:textId="34025BD8" w:rsidR="00500FE4" w:rsidRDefault="00500FE4">
          <w:pPr>
            <w:pStyle w:val="TOC3"/>
            <w:tabs>
              <w:tab w:val="right" w:pos="9742"/>
            </w:tabs>
            <w:rPr>
              <w:rFonts w:asciiTheme="minorHAnsi" w:eastAsiaTheme="minorEastAsia" w:hAnsiTheme="minorHAnsi" w:cstheme="minorBidi"/>
              <w:noProof/>
              <w:lang w:val="en-MY" w:eastAsia="zh-CN"/>
            </w:rPr>
          </w:pPr>
          <w:hyperlink w:anchor="_Toc62221441" w:history="1">
            <w:r w:rsidRPr="00031C90">
              <w:rPr>
                <w:rStyle w:val="Hyperlink"/>
                <w:noProof/>
              </w:rPr>
              <w:t>Residential sector energy savings: 57 Million BOE</w:t>
            </w:r>
            <w:r>
              <w:rPr>
                <w:noProof/>
                <w:webHidden/>
              </w:rPr>
              <w:tab/>
            </w:r>
            <w:r>
              <w:rPr>
                <w:noProof/>
                <w:webHidden/>
              </w:rPr>
              <w:fldChar w:fldCharType="begin"/>
            </w:r>
            <w:r>
              <w:rPr>
                <w:noProof/>
                <w:webHidden/>
              </w:rPr>
              <w:instrText xml:space="preserve"> PAGEREF _Toc62221441 \h </w:instrText>
            </w:r>
            <w:r>
              <w:rPr>
                <w:noProof/>
                <w:webHidden/>
              </w:rPr>
            </w:r>
            <w:r>
              <w:rPr>
                <w:noProof/>
                <w:webHidden/>
              </w:rPr>
              <w:fldChar w:fldCharType="separate"/>
            </w:r>
            <w:r>
              <w:rPr>
                <w:noProof/>
                <w:webHidden/>
              </w:rPr>
              <w:t>46</w:t>
            </w:r>
            <w:r>
              <w:rPr>
                <w:noProof/>
                <w:webHidden/>
              </w:rPr>
              <w:fldChar w:fldCharType="end"/>
            </w:r>
          </w:hyperlink>
        </w:p>
        <w:p w14:paraId="7A566149" w14:textId="3816B524" w:rsidR="00500FE4" w:rsidRDefault="00500FE4">
          <w:pPr>
            <w:pStyle w:val="TOC3"/>
            <w:tabs>
              <w:tab w:val="right" w:pos="9742"/>
            </w:tabs>
            <w:rPr>
              <w:rFonts w:asciiTheme="minorHAnsi" w:eastAsiaTheme="minorEastAsia" w:hAnsiTheme="minorHAnsi" w:cstheme="minorBidi"/>
              <w:noProof/>
              <w:lang w:val="en-MY" w:eastAsia="zh-CN"/>
            </w:rPr>
          </w:pPr>
          <w:hyperlink w:anchor="_Toc62221442" w:history="1">
            <w:r w:rsidRPr="00031C90">
              <w:rPr>
                <w:rStyle w:val="Hyperlink"/>
                <w:noProof/>
              </w:rPr>
              <w:t>Industrial sector energy savings : 45 Million BOE</w:t>
            </w:r>
            <w:r>
              <w:rPr>
                <w:noProof/>
                <w:webHidden/>
              </w:rPr>
              <w:tab/>
            </w:r>
            <w:r>
              <w:rPr>
                <w:noProof/>
                <w:webHidden/>
              </w:rPr>
              <w:fldChar w:fldCharType="begin"/>
            </w:r>
            <w:r>
              <w:rPr>
                <w:noProof/>
                <w:webHidden/>
              </w:rPr>
              <w:instrText xml:space="preserve"> PAGEREF _Toc62221442 \h </w:instrText>
            </w:r>
            <w:r>
              <w:rPr>
                <w:noProof/>
                <w:webHidden/>
              </w:rPr>
            </w:r>
            <w:r>
              <w:rPr>
                <w:noProof/>
                <w:webHidden/>
              </w:rPr>
              <w:fldChar w:fldCharType="separate"/>
            </w:r>
            <w:r>
              <w:rPr>
                <w:noProof/>
                <w:webHidden/>
              </w:rPr>
              <w:t>46</w:t>
            </w:r>
            <w:r>
              <w:rPr>
                <w:noProof/>
                <w:webHidden/>
              </w:rPr>
              <w:fldChar w:fldCharType="end"/>
            </w:r>
          </w:hyperlink>
        </w:p>
        <w:p w14:paraId="5EDF24CE" w14:textId="069C89FE" w:rsidR="00500FE4" w:rsidRDefault="00500FE4">
          <w:pPr>
            <w:pStyle w:val="TOC3"/>
            <w:tabs>
              <w:tab w:val="right" w:pos="9742"/>
            </w:tabs>
            <w:rPr>
              <w:rFonts w:asciiTheme="minorHAnsi" w:eastAsiaTheme="minorEastAsia" w:hAnsiTheme="minorHAnsi" w:cstheme="minorBidi"/>
              <w:noProof/>
              <w:lang w:val="en-MY" w:eastAsia="zh-CN"/>
            </w:rPr>
          </w:pPr>
          <w:hyperlink w:anchor="_Toc62221443" w:history="1">
            <w:r w:rsidRPr="00031C90">
              <w:rPr>
                <w:rStyle w:val="Hyperlink"/>
                <w:noProof/>
              </w:rPr>
              <w:t>Transport sector energy savings: 115 Million BOE</w:t>
            </w:r>
            <w:r>
              <w:rPr>
                <w:noProof/>
                <w:webHidden/>
              </w:rPr>
              <w:tab/>
            </w:r>
            <w:r>
              <w:rPr>
                <w:noProof/>
                <w:webHidden/>
              </w:rPr>
              <w:fldChar w:fldCharType="begin"/>
            </w:r>
            <w:r>
              <w:rPr>
                <w:noProof/>
                <w:webHidden/>
              </w:rPr>
              <w:instrText xml:space="preserve"> PAGEREF _Toc62221443 \h </w:instrText>
            </w:r>
            <w:r>
              <w:rPr>
                <w:noProof/>
                <w:webHidden/>
              </w:rPr>
            </w:r>
            <w:r>
              <w:rPr>
                <w:noProof/>
                <w:webHidden/>
              </w:rPr>
              <w:fldChar w:fldCharType="separate"/>
            </w:r>
            <w:r>
              <w:rPr>
                <w:noProof/>
                <w:webHidden/>
              </w:rPr>
              <w:t>47</w:t>
            </w:r>
            <w:r>
              <w:rPr>
                <w:noProof/>
                <w:webHidden/>
              </w:rPr>
              <w:fldChar w:fldCharType="end"/>
            </w:r>
          </w:hyperlink>
        </w:p>
        <w:p w14:paraId="3193D345" w14:textId="159A8CF8" w:rsidR="00500FE4" w:rsidRDefault="00500FE4">
          <w:pPr>
            <w:pStyle w:val="TOC3"/>
            <w:tabs>
              <w:tab w:val="right" w:pos="9742"/>
            </w:tabs>
            <w:rPr>
              <w:rFonts w:asciiTheme="minorHAnsi" w:eastAsiaTheme="minorEastAsia" w:hAnsiTheme="minorHAnsi" w:cstheme="minorBidi"/>
              <w:noProof/>
              <w:lang w:val="en-MY" w:eastAsia="zh-CN"/>
            </w:rPr>
          </w:pPr>
          <w:hyperlink w:anchor="_Toc62221444" w:history="1">
            <w:r w:rsidRPr="00031C90">
              <w:rPr>
                <w:rStyle w:val="Hyperlink"/>
                <w:noProof/>
              </w:rPr>
              <w:t>Commercial sector energy savings: 0.3 Million BOE</w:t>
            </w:r>
            <w:r>
              <w:rPr>
                <w:noProof/>
                <w:webHidden/>
              </w:rPr>
              <w:tab/>
            </w:r>
            <w:r>
              <w:rPr>
                <w:noProof/>
                <w:webHidden/>
              </w:rPr>
              <w:fldChar w:fldCharType="begin"/>
            </w:r>
            <w:r>
              <w:rPr>
                <w:noProof/>
                <w:webHidden/>
              </w:rPr>
              <w:instrText xml:space="preserve"> PAGEREF _Toc62221444 \h </w:instrText>
            </w:r>
            <w:r>
              <w:rPr>
                <w:noProof/>
                <w:webHidden/>
              </w:rPr>
            </w:r>
            <w:r>
              <w:rPr>
                <w:noProof/>
                <w:webHidden/>
              </w:rPr>
              <w:fldChar w:fldCharType="separate"/>
            </w:r>
            <w:r>
              <w:rPr>
                <w:noProof/>
                <w:webHidden/>
              </w:rPr>
              <w:t>47</w:t>
            </w:r>
            <w:r>
              <w:rPr>
                <w:noProof/>
                <w:webHidden/>
              </w:rPr>
              <w:fldChar w:fldCharType="end"/>
            </w:r>
          </w:hyperlink>
        </w:p>
        <w:p w14:paraId="0F1CCF24" w14:textId="740B2333"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45" w:history="1">
            <w:r w:rsidRPr="00031C90">
              <w:rPr>
                <w:rStyle w:val="Hyperlink"/>
                <w:noProof/>
              </w:rPr>
              <w:t>6.9.</w:t>
            </w:r>
            <w:r>
              <w:rPr>
                <w:rFonts w:asciiTheme="minorHAnsi" w:eastAsiaTheme="minorEastAsia" w:hAnsiTheme="minorHAnsi" w:cstheme="minorBidi"/>
                <w:noProof/>
                <w:lang w:val="en-MY" w:eastAsia="zh-CN"/>
              </w:rPr>
              <w:tab/>
            </w:r>
            <w:r w:rsidRPr="00031C90">
              <w:rPr>
                <w:rStyle w:val="Hyperlink"/>
                <w:noProof/>
              </w:rPr>
              <w:t>Marginal abatement cost curve</w:t>
            </w:r>
            <w:r>
              <w:rPr>
                <w:noProof/>
                <w:webHidden/>
              </w:rPr>
              <w:tab/>
            </w:r>
            <w:r>
              <w:rPr>
                <w:noProof/>
                <w:webHidden/>
              </w:rPr>
              <w:fldChar w:fldCharType="begin"/>
            </w:r>
            <w:r>
              <w:rPr>
                <w:noProof/>
                <w:webHidden/>
              </w:rPr>
              <w:instrText xml:space="preserve"> PAGEREF _Toc62221445 \h </w:instrText>
            </w:r>
            <w:r>
              <w:rPr>
                <w:noProof/>
                <w:webHidden/>
              </w:rPr>
            </w:r>
            <w:r>
              <w:rPr>
                <w:noProof/>
                <w:webHidden/>
              </w:rPr>
              <w:fldChar w:fldCharType="separate"/>
            </w:r>
            <w:r>
              <w:rPr>
                <w:noProof/>
                <w:webHidden/>
              </w:rPr>
              <w:t>49</w:t>
            </w:r>
            <w:r>
              <w:rPr>
                <w:noProof/>
                <w:webHidden/>
              </w:rPr>
              <w:fldChar w:fldCharType="end"/>
            </w:r>
          </w:hyperlink>
        </w:p>
        <w:p w14:paraId="5F436015" w14:textId="186ACBC9"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446" w:history="1">
            <w:r w:rsidRPr="00031C90">
              <w:rPr>
                <w:rStyle w:val="Hyperlink"/>
                <w:noProof/>
              </w:rPr>
              <w:t>7.</w:t>
            </w:r>
            <w:r>
              <w:rPr>
                <w:rFonts w:asciiTheme="minorHAnsi" w:eastAsiaTheme="minorEastAsia" w:hAnsiTheme="minorHAnsi" w:cstheme="minorBidi"/>
                <w:noProof/>
                <w:lang w:val="en-MY" w:eastAsia="zh-CN"/>
              </w:rPr>
              <w:tab/>
            </w:r>
            <w:r w:rsidRPr="00031C90">
              <w:rPr>
                <w:rStyle w:val="Hyperlink"/>
                <w:noProof/>
              </w:rPr>
              <w:t>Rebuilding better in the recovery from COVID-19 with the SDG 7 roadmap</w:t>
            </w:r>
            <w:r>
              <w:rPr>
                <w:noProof/>
                <w:webHidden/>
              </w:rPr>
              <w:tab/>
            </w:r>
            <w:r>
              <w:rPr>
                <w:noProof/>
                <w:webHidden/>
              </w:rPr>
              <w:fldChar w:fldCharType="begin"/>
            </w:r>
            <w:r>
              <w:rPr>
                <w:noProof/>
                <w:webHidden/>
              </w:rPr>
              <w:instrText xml:space="preserve"> PAGEREF _Toc62221446 \h </w:instrText>
            </w:r>
            <w:r>
              <w:rPr>
                <w:noProof/>
                <w:webHidden/>
              </w:rPr>
            </w:r>
            <w:r>
              <w:rPr>
                <w:noProof/>
                <w:webHidden/>
              </w:rPr>
              <w:fldChar w:fldCharType="separate"/>
            </w:r>
            <w:r>
              <w:rPr>
                <w:noProof/>
                <w:webHidden/>
              </w:rPr>
              <w:t>50</w:t>
            </w:r>
            <w:r>
              <w:rPr>
                <w:noProof/>
                <w:webHidden/>
              </w:rPr>
              <w:fldChar w:fldCharType="end"/>
            </w:r>
          </w:hyperlink>
        </w:p>
        <w:p w14:paraId="36C9F4D3" w14:textId="4E98D7A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47" w:history="1">
            <w:r w:rsidRPr="00031C90">
              <w:rPr>
                <w:rStyle w:val="Hyperlink"/>
                <w:noProof/>
              </w:rPr>
              <w:t>7.1.</w:t>
            </w:r>
            <w:r>
              <w:rPr>
                <w:rFonts w:asciiTheme="minorHAnsi" w:eastAsiaTheme="minorEastAsia" w:hAnsiTheme="minorHAnsi" w:cstheme="minorBidi"/>
                <w:noProof/>
                <w:lang w:val="en-MY" w:eastAsia="zh-CN"/>
              </w:rPr>
              <w:tab/>
            </w:r>
            <w:r w:rsidRPr="00031C90">
              <w:rPr>
                <w:rStyle w:val="Hyperlink"/>
                <w:noProof/>
              </w:rPr>
              <w:t>Accelerating access to clean and modern energy services</w:t>
            </w:r>
            <w:r>
              <w:rPr>
                <w:noProof/>
                <w:webHidden/>
              </w:rPr>
              <w:tab/>
            </w:r>
            <w:r>
              <w:rPr>
                <w:noProof/>
                <w:webHidden/>
              </w:rPr>
              <w:fldChar w:fldCharType="begin"/>
            </w:r>
            <w:r>
              <w:rPr>
                <w:noProof/>
                <w:webHidden/>
              </w:rPr>
              <w:instrText xml:space="preserve"> PAGEREF _Toc62221447 \h </w:instrText>
            </w:r>
            <w:r>
              <w:rPr>
                <w:noProof/>
                <w:webHidden/>
              </w:rPr>
            </w:r>
            <w:r>
              <w:rPr>
                <w:noProof/>
                <w:webHidden/>
              </w:rPr>
              <w:fldChar w:fldCharType="separate"/>
            </w:r>
            <w:r>
              <w:rPr>
                <w:noProof/>
                <w:webHidden/>
              </w:rPr>
              <w:t>50</w:t>
            </w:r>
            <w:r>
              <w:rPr>
                <w:noProof/>
                <w:webHidden/>
              </w:rPr>
              <w:fldChar w:fldCharType="end"/>
            </w:r>
          </w:hyperlink>
        </w:p>
        <w:p w14:paraId="7CC20B68" w14:textId="3BC21E59"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48" w:history="1">
            <w:r w:rsidRPr="00031C90">
              <w:rPr>
                <w:rStyle w:val="Hyperlink"/>
                <w:noProof/>
              </w:rPr>
              <w:t>7.2.</w:t>
            </w:r>
            <w:r>
              <w:rPr>
                <w:rFonts w:asciiTheme="minorHAnsi" w:eastAsiaTheme="minorEastAsia" w:hAnsiTheme="minorHAnsi" w:cstheme="minorBidi"/>
                <w:noProof/>
                <w:lang w:val="en-MY" w:eastAsia="zh-CN"/>
              </w:rPr>
              <w:tab/>
            </w:r>
            <w:r w:rsidRPr="00031C90">
              <w:rPr>
                <w:rStyle w:val="Hyperlink"/>
                <w:noProof/>
              </w:rPr>
              <w:t>Reducing financial risks by reshaping the power sector</w:t>
            </w:r>
            <w:r>
              <w:rPr>
                <w:noProof/>
                <w:webHidden/>
              </w:rPr>
              <w:tab/>
            </w:r>
            <w:r>
              <w:rPr>
                <w:noProof/>
                <w:webHidden/>
              </w:rPr>
              <w:fldChar w:fldCharType="begin"/>
            </w:r>
            <w:r>
              <w:rPr>
                <w:noProof/>
                <w:webHidden/>
              </w:rPr>
              <w:instrText xml:space="preserve"> PAGEREF _Toc62221448 \h </w:instrText>
            </w:r>
            <w:r>
              <w:rPr>
                <w:noProof/>
                <w:webHidden/>
              </w:rPr>
            </w:r>
            <w:r>
              <w:rPr>
                <w:noProof/>
                <w:webHidden/>
              </w:rPr>
              <w:fldChar w:fldCharType="separate"/>
            </w:r>
            <w:r>
              <w:rPr>
                <w:noProof/>
                <w:webHidden/>
              </w:rPr>
              <w:t>51</w:t>
            </w:r>
            <w:r>
              <w:rPr>
                <w:noProof/>
                <w:webHidden/>
              </w:rPr>
              <w:fldChar w:fldCharType="end"/>
            </w:r>
          </w:hyperlink>
        </w:p>
        <w:p w14:paraId="3B3C7CEF" w14:textId="104FA2C3"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49" w:history="1">
            <w:r w:rsidRPr="00031C90">
              <w:rPr>
                <w:rStyle w:val="Hyperlink"/>
                <w:noProof/>
              </w:rPr>
              <w:t>7.3.</w:t>
            </w:r>
            <w:r>
              <w:rPr>
                <w:rFonts w:asciiTheme="minorHAnsi" w:eastAsiaTheme="minorEastAsia" w:hAnsiTheme="minorHAnsi" w:cstheme="minorBidi"/>
                <w:noProof/>
                <w:lang w:val="en-MY" w:eastAsia="zh-CN"/>
              </w:rPr>
              <w:tab/>
            </w:r>
            <w:r w:rsidRPr="00031C90">
              <w:rPr>
                <w:rStyle w:val="Hyperlink"/>
                <w:noProof/>
              </w:rPr>
              <w:t>Savings from the energy sector will help to build other sectors</w:t>
            </w:r>
            <w:r>
              <w:rPr>
                <w:noProof/>
                <w:webHidden/>
              </w:rPr>
              <w:tab/>
            </w:r>
            <w:r>
              <w:rPr>
                <w:noProof/>
                <w:webHidden/>
              </w:rPr>
              <w:fldChar w:fldCharType="begin"/>
            </w:r>
            <w:r>
              <w:rPr>
                <w:noProof/>
                <w:webHidden/>
              </w:rPr>
              <w:instrText xml:space="preserve"> PAGEREF _Toc62221449 \h </w:instrText>
            </w:r>
            <w:r>
              <w:rPr>
                <w:noProof/>
                <w:webHidden/>
              </w:rPr>
            </w:r>
            <w:r>
              <w:rPr>
                <w:noProof/>
                <w:webHidden/>
              </w:rPr>
              <w:fldChar w:fldCharType="separate"/>
            </w:r>
            <w:r>
              <w:rPr>
                <w:noProof/>
                <w:webHidden/>
              </w:rPr>
              <w:t>52</w:t>
            </w:r>
            <w:r>
              <w:rPr>
                <w:noProof/>
                <w:webHidden/>
              </w:rPr>
              <w:fldChar w:fldCharType="end"/>
            </w:r>
          </w:hyperlink>
        </w:p>
        <w:p w14:paraId="1A91A2E3" w14:textId="79BC576D"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50" w:history="1">
            <w:r w:rsidRPr="00031C90">
              <w:rPr>
                <w:rStyle w:val="Hyperlink"/>
                <w:noProof/>
              </w:rPr>
              <w:t>7.4.</w:t>
            </w:r>
            <w:r>
              <w:rPr>
                <w:rFonts w:asciiTheme="minorHAnsi" w:eastAsiaTheme="minorEastAsia" w:hAnsiTheme="minorHAnsi" w:cstheme="minorBidi"/>
                <w:noProof/>
                <w:lang w:val="en-MY" w:eastAsia="zh-CN"/>
              </w:rPr>
              <w:tab/>
            </w:r>
            <w:r w:rsidRPr="00031C90">
              <w:rPr>
                <w:rStyle w:val="Hyperlink"/>
                <w:noProof/>
              </w:rPr>
              <w:t>Restructuring fiscal measures to invest where it is needed the most</w:t>
            </w:r>
            <w:r>
              <w:rPr>
                <w:noProof/>
                <w:webHidden/>
              </w:rPr>
              <w:tab/>
            </w:r>
            <w:r>
              <w:rPr>
                <w:noProof/>
                <w:webHidden/>
              </w:rPr>
              <w:fldChar w:fldCharType="begin"/>
            </w:r>
            <w:r>
              <w:rPr>
                <w:noProof/>
                <w:webHidden/>
              </w:rPr>
              <w:instrText xml:space="preserve"> PAGEREF _Toc62221450 \h </w:instrText>
            </w:r>
            <w:r>
              <w:rPr>
                <w:noProof/>
                <w:webHidden/>
              </w:rPr>
            </w:r>
            <w:r>
              <w:rPr>
                <w:noProof/>
                <w:webHidden/>
              </w:rPr>
              <w:fldChar w:fldCharType="separate"/>
            </w:r>
            <w:r>
              <w:rPr>
                <w:noProof/>
                <w:webHidden/>
              </w:rPr>
              <w:t>52</w:t>
            </w:r>
            <w:r>
              <w:rPr>
                <w:noProof/>
                <w:webHidden/>
              </w:rPr>
              <w:fldChar w:fldCharType="end"/>
            </w:r>
          </w:hyperlink>
        </w:p>
        <w:p w14:paraId="60228B92" w14:textId="6092FE4A"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451" w:history="1">
            <w:r w:rsidRPr="00031C90">
              <w:rPr>
                <w:rStyle w:val="Hyperlink"/>
                <w:noProof/>
              </w:rPr>
              <w:t>8.</w:t>
            </w:r>
            <w:r>
              <w:rPr>
                <w:rFonts w:asciiTheme="minorHAnsi" w:eastAsiaTheme="minorEastAsia" w:hAnsiTheme="minorHAnsi" w:cstheme="minorBidi"/>
                <w:noProof/>
                <w:lang w:val="en-MY" w:eastAsia="zh-CN"/>
              </w:rPr>
              <w:tab/>
            </w:r>
            <w:r w:rsidRPr="00031C90">
              <w:rPr>
                <w:rStyle w:val="Hyperlink"/>
                <w:noProof/>
              </w:rPr>
              <w:t>Revisiting existing policies</w:t>
            </w:r>
            <w:r>
              <w:rPr>
                <w:noProof/>
                <w:webHidden/>
              </w:rPr>
              <w:tab/>
            </w:r>
            <w:r>
              <w:rPr>
                <w:noProof/>
                <w:webHidden/>
              </w:rPr>
              <w:fldChar w:fldCharType="begin"/>
            </w:r>
            <w:r>
              <w:rPr>
                <w:noProof/>
                <w:webHidden/>
              </w:rPr>
              <w:instrText xml:space="preserve"> PAGEREF _Toc62221451 \h </w:instrText>
            </w:r>
            <w:r>
              <w:rPr>
                <w:noProof/>
                <w:webHidden/>
              </w:rPr>
            </w:r>
            <w:r>
              <w:rPr>
                <w:noProof/>
                <w:webHidden/>
              </w:rPr>
              <w:fldChar w:fldCharType="separate"/>
            </w:r>
            <w:r>
              <w:rPr>
                <w:noProof/>
                <w:webHidden/>
              </w:rPr>
              <w:t>54</w:t>
            </w:r>
            <w:r>
              <w:rPr>
                <w:noProof/>
                <w:webHidden/>
              </w:rPr>
              <w:fldChar w:fldCharType="end"/>
            </w:r>
          </w:hyperlink>
        </w:p>
        <w:p w14:paraId="28514738" w14:textId="1958EFD1" w:rsidR="00500FE4" w:rsidRDefault="00500FE4">
          <w:pPr>
            <w:pStyle w:val="TOC1"/>
            <w:tabs>
              <w:tab w:val="left" w:pos="440"/>
              <w:tab w:val="right" w:pos="9742"/>
            </w:tabs>
            <w:rPr>
              <w:rFonts w:asciiTheme="minorHAnsi" w:eastAsiaTheme="minorEastAsia" w:hAnsiTheme="minorHAnsi" w:cstheme="minorBidi"/>
              <w:noProof/>
              <w:lang w:val="en-MY" w:eastAsia="zh-CN"/>
            </w:rPr>
          </w:pPr>
          <w:hyperlink w:anchor="_Toc62221452" w:history="1">
            <w:r w:rsidRPr="00031C90">
              <w:rPr>
                <w:rStyle w:val="Hyperlink"/>
                <w:noProof/>
              </w:rPr>
              <w:t>9.</w:t>
            </w:r>
            <w:r>
              <w:rPr>
                <w:rFonts w:asciiTheme="minorHAnsi" w:eastAsiaTheme="minorEastAsia" w:hAnsiTheme="minorHAnsi" w:cstheme="minorBidi"/>
                <w:noProof/>
                <w:lang w:val="en-MY" w:eastAsia="zh-CN"/>
              </w:rPr>
              <w:tab/>
            </w:r>
            <w:r w:rsidRPr="00031C90">
              <w:rPr>
                <w:rStyle w:val="Hyperlink"/>
                <w:noProof/>
              </w:rPr>
              <w:t>Conclusion</w:t>
            </w:r>
            <w:r>
              <w:rPr>
                <w:noProof/>
                <w:webHidden/>
              </w:rPr>
              <w:tab/>
            </w:r>
            <w:r>
              <w:rPr>
                <w:noProof/>
                <w:webHidden/>
              </w:rPr>
              <w:fldChar w:fldCharType="begin"/>
            </w:r>
            <w:r>
              <w:rPr>
                <w:noProof/>
                <w:webHidden/>
              </w:rPr>
              <w:instrText xml:space="preserve"> PAGEREF _Toc62221452 \h </w:instrText>
            </w:r>
            <w:r>
              <w:rPr>
                <w:noProof/>
                <w:webHidden/>
              </w:rPr>
            </w:r>
            <w:r>
              <w:rPr>
                <w:noProof/>
                <w:webHidden/>
              </w:rPr>
              <w:fldChar w:fldCharType="separate"/>
            </w:r>
            <w:r>
              <w:rPr>
                <w:noProof/>
                <w:webHidden/>
              </w:rPr>
              <w:t>56</w:t>
            </w:r>
            <w:r>
              <w:rPr>
                <w:noProof/>
                <w:webHidden/>
              </w:rPr>
              <w:fldChar w:fldCharType="end"/>
            </w:r>
          </w:hyperlink>
        </w:p>
        <w:p w14:paraId="5125E764" w14:textId="06720617" w:rsidR="00500FE4" w:rsidRDefault="00500FE4">
          <w:pPr>
            <w:pStyle w:val="TOC1"/>
            <w:tabs>
              <w:tab w:val="right" w:pos="9742"/>
            </w:tabs>
            <w:rPr>
              <w:rFonts w:asciiTheme="minorHAnsi" w:eastAsiaTheme="minorEastAsia" w:hAnsiTheme="minorHAnsi" w:cstheme="minorBidi"/>
              <w:noProof/>
              <w:lang w:val="en-MY" w:eastAsia="zh-CN"/>
            </w:rPr>
          </w:pPr>
          <w:hyperlink w:anchor="_Toc62221453" w:history="1">
            <w:r w:rsidRPr="00031C90">
              <w:rPr>
                <w:rStyle w:val="Hyperlink"/>
                <w:noProof/>
              </w:rPr>
              <w:t>References</w:t>
            </w:r>
            <w:r>
              <w:rPr>
                <w:noProof/>
                <w:webHidden/>
              </w:rPr>
              <w:tab/>
            </w:r>
            <w:r>
              <w:rPr>
                <w:noProof/>
                <w:webHidden/>
              </w:rPr>
              <w:fldChar w:fldCharType="begin"/>
            </w:r>
            <w:r>
              <w:rPr>
                <w:noProof/>
                <w:webHidden/>
              </w:rPr>
              <w:instrText xml:space="preserve"> PAGEREF _Toc62221453 \h </w:instrText>
            </w:r>
            <w:r>
              <w:rPr>
                <w:noProof/>
                <w:webHidden/>
              </w:rPr>
            </w:r>
            <w:r>
              <w:rPr>
                <w:noProof/>
                <w:webHidden/>
              </w:rPr>
              <w:fldChar w:fldCharType="separate"/>
            </w:r>
            <w:r>
              <w:rPr>
                <w:noProof/>
                <w:webHidden/>
              </w:rPr>
              <w:t>58</w:t>
            </w:r>
            <w:r>
              <w:rPr>
                <w:noProof/>
                <w:webHidden/>
              </w:rPr>
              <w:fldChar w:fldCharType="end"/>
            </w:r>
          </w:hyperlink>
        </w:p>
        <w:p w14:paraId="362ABC13" w14:textId="75EFFD54" w:rsidR="00500FE4" w:rsidRDefault="00500FE4">
          <w:pPr>
            <w:pStyle w:val="TOC1"/>
            <w:tabs>
              <w:tab w:val="right" w:pos="9742"/>
            </w:tabs>
            <w:rPr>
              <w:rFonts w:asciiTheme="minorHAnsi" w:eastAsiaTheme="minorEastAsia" w:hAnsiTheme="minorHAnsi" w:cstheme="minorBidi"/>
              <w:noProof/>
              <w:lang w:val="en-MY" w:eastAsia="zh-CN"/>
            </w:rPr>
          </w:pPr>
          <w:hyperlink w:anchor="_Toc62221454" w:history="1">
            <w:r w:rsidRPr="00031C90">
              <w:rPr>
                <w:rStyle w:val="Hyperlink"/>
                <w:noProof/>
              </w:rPr>
              <w:t>Annexes</w:t>
            </w:r>
            <w:r>
              <w:rPr>
                <w:noProof/>
                <w:webHidden/>
              </w:rPr>
              <w:tab/>
            </w:r>
            <w:r>
              <w:rPr>
                <w:noProof/>
                <w:webHidden/>
              </w:rPr>
              <w:fldChar w:fldCharType="begin"/>
            </w:r>
            <w:r>
              <w:rPr>
                <w:noProof/>
                <w:webHidden/>
              </w:rPr>
              <w:instrText xml:space="preserve"> PAGEREF _Toc62221454 \h </w:instrText>
            </w:r>
            <w:r>
              <w:rPr>
                <w:noProof/>
                <w:webHidden/>
              </w:rPr>
            </w:r>
            <w:r>
              <w:rPr>
                <w:noProof/>
                <w:webHidden/>
              </w:rPr>
              <w:fldChar w:fldCharType="separate"/>
            </w:r>
            <w:r>
              <w:rPr>
                <w:noProof/>
                <w:webHidden/>
              </w:rPr>
              <w:t>60</w:t>
            </w:r>
            <w:r>
              <w:rPr>
                <w:noProof/>
                <w:webHidden/>
              </w:rPr>
              <w:fldChar w:fldCharType="end"/>
            </w:r>
          </w:hyperlink>
        </w:p>
        <w:p w14:paraId="207DE917" w14:textId="5C00455C" w:rsidR="00500FE4" w:rsidRDefault="00500FE4">
          <w:pPr>
            <w:pStyle w:val="TOC2"/>
            <w:tabs>
              <w:tab w:val="left" w:pos="660"/>
              <w:tab w:val="right" w:pos="9742"/>
            </w:tabs>
            <w:rPr>
              <w:rFonts w:asciiTheme="minorHAnsi" w:eastAsiaTheme="minorEastAsia" w:hAnsiTheme="minorHAnsi" w:cstheme="minorBidi"/>
              <w:noProof/>
              <w:lang w:val="en-MY" w:eastAsia="zh-CN"/>
            </w:rPr>
          </w:pPr>
          <w:hyperlink w:anchor="_Toc62221455" w:history="1">
            <w:r w:rsidRPr="00031C90">
              <w:rPr>
                <w:rStyle w:val="Hyperlink"/>
                <w:noProof/>
              </w:rPr>
              <w:t>I.</w:t>
            </w:r>
            <w:r>
              <w:rPr>
                <w:rFonts w:asciiTheme="minorHAnsi" w:eastAsiaTheme="minorEastAsia" w:hAnsiTheme="minorHAnsi" w:cstheme="minorBidi"/>
                <w:noProof/>
                <w:lang w:val="en-MY" w:eastAsia="zh-CN"/>
              </w:rPr>
              <w:tab/>
            </w:r>
            <w:r w:rsidRPr="00031C90">
              <w:rPr>
                <w:rStyle w:val="Hyperlink"/>
                <w:noProof/>
              </w:rPr>
              <w:t>National Expert SDG 7 Tool for Energy Planning Methodology</w:t>
            </w:r>
            <w:r>
              <w:rPr>
                <w:noProof/>
                <w:webHidden/>
              </w:rPr>
              <w:tab/>
            </w:r>
            <w:r>
              <w:rPr>
                <w:noProof/>
                <w:webHidden/>
              </w:rPr>
              <w:fldChar w:fldCharType="begin"/>
            </w:r>
            <w:r>
              <w:rPr>
                <w:noProof/>
                <w:webHidden/>
              </w:rPr>
              <w:instrText xml:space="preserve"> PAGEREF _Toc62221455 \h </w:instrText>
            </w:r>
            <w:r>
              <w:rPr>
                <w:noProof/>
                <w:webHidden/>
              </w:rPr>
            </w:r>
            <w:r>
              <w:rPr>
                <w:noProof/>
                <w:webHidden/>
              </w:rPr>
              <w:fldChar w:fldCharType="separate"/>
            </w:r>
            <w:r>
              <w:rPr>
                <w:noProof/>
                <w:webHidden/>
              </w:rPr>
              <w:t>60</w:t>
            </w:r>
            <w:r>
              <w:rPr>
                <w:noProof/>
                <w:webHidden/>
              </w:rPr>
              <w:fldChar w:fldCharType="end"/>
            </w:r>
          </w:hyperlink>
        </w:p>
        <w:p w14:paraId="1963D613" w14:textId="799CE44C" w:rsidR="00500FE4" w:rsidRDefault="00500FE4">
          <w:pPr>
            <w:pStyle w:val="TOC2"/>
            <w:tabs>
              <w:tab w:val="left" w:pos="660"/>
              <w:tab w:val="right" w:pos="9742"/>
            </w:tabs>
            <w:rPr>
              <w:rFonts w:asciiTheme="minorHAnsi" w:eastAsiaTheme="minorEastAsia" w:hAnsiTheme="minorHAnsi" w:cstheme="minorBidi"/>
              <w:noProof/>
              <w:lang w:val="en-MY" w:eastAsia="zh-CN"/>
            </w:rPr>
          </w:pPr>
          <w:hyperlink w:anchor="_Toc62221456" w:history="1">
            <w:r w:rsidRPr="00031C90">
              <w:rPr>
                <w:rStyle w:val="Hyperlink"/>
                <w:noProof/>
              </w:rPr>
              <w:t>II.</w:t>
            </w:r>
            <w:r>
              <w:rPr>
                <w:rFonts w:asciiTheme="minorHAnsi" w:eastAsiaTheme="minorEastAsia" w:hAnsiTheme="minorHAnsi" w:cstheme="minorBidi"/>
                <w:noProof/>
                <w:lang w:val="en-MY" w:eastAsia="zh-CN"/>
              </w:rPr>
              <w:tab/>
            </w:r>
            <w:r w:rsidRPr="00031C90">
              <w:rPr>
                <w:rStyle w:val="Hyperlink"/>
                <w:noProof/>
              </w:rPr>
              <w:t>Key assumptions</w:t>
            </w:r>
            <w:r>
              <w:rPr>
                <w:noProof/>
                <w:webHidden/>
              </w:rPr>
              <w:tab/>
            </w:r>
            <w:r>
              <w:rPr>
                <w:noProof/>
                <w:webHidden/>
              </w:rPr>
              <w:fldChar w:fldCharType="begin"/>
            </w:r>
            <w:r>
              <w:rPr>
                <w:noProof/>
                <w:webHidden/>
              </w:rPr>
              <w:instrText xml:space="preserve"> PAGEREF _Toc62221456 \h </w:instrText>
            </w:r>
            <w:r>
              <w:rPr>
                <w:noProof/>
                <w:webHidden/>
              </w:rPr>
            </w:r>
            <w:r>
              <w:rPr>
                <w:noProof/>
                <w:webHidden/>
              </w:rPr>
              <w:fldChar w:fldCharType="separate"/>
            </w:r>
            <w:r>
              <w:rPr>
                <w:noProof/>
                <w:webHidden/>
              </w:rPr>
              <w:t>62</w:t>
            </w:r>
            <w:r>
              <w:rPr>
                <w:noProof/>
                <w:webHidden/>
              </w:rPr>
              <w:fldChar w:fldCharType="end"/>
            </w:r>
          </w:hyperlink>
        </w:p>
        <w:p w14:paraId="26184BA7" w14:textId="597BD04F" w:rsidR="00500FE4" w:rsidRDefault="00500FE4">
          <w:pPr>
            <w:pStyle w:val="TOC3"/>
            <w:tabs>
              <w:tab w:val="right" w:pos="9742"/>
            </w:tabs>
            <w:rPr>
              <w:rFonts w:asciiTheme="minorHAnsi" w:eastAsiaTheme="minorEastAsia" w:hAnsiTheme="minorHAnsi" w:cstheme="minorBidi"/>
              <w:noProof/>
              <w:lang w:val="en-MY" w:eastAsia="zh-CN"/>
            </w:rPr>
          </w:pPr>
          <w:hyperlink w:anchor="_Toc62221457" w:history="1">
            <w:r w:rsidRPr="00031C90">
              <w:rPr>
                <w:rStyle w:val="Hyperlink"/>
                <w:noProof/>
              </w:rPr>
              <w:t>GDP Growth</w:t>
            </w:r>
            <w:r>
              <w:rPr>
                <w:noProof/>
                <w:webHidden/>
              </w:rPr>
              <w:tab/>
            </w:r>
            <w:r>
              <w:rPr>
                <w:noProof/>
                <w:webHidden/>
              </w:rPr>
              <w:fldChar w:fldCharType="begin"/>
            </w:r>
            <w:r>
              <w:rPr>
                <w:noProof/>
                <w:webHidden/>
              </w:rPr>
              <w:instrText xml:space="preserve"> PAGEREF _Toc62221457 \h </w:instrText>
            </w:r>
            <w:r>
              <w:rPr>
                <w:noProof/>
                <w:webHidden/>
              </w:rPr>
            </w:r>
            <w:r>
              <w:rPr>
                <w:noProof/>
                <w:webHidden/>
              </w:rPr>
              <w:fldChar w:fldCharType="separate"/>
            </w:r>
            <w:r>
              <w:rPr>
                <w:noProof/>
                <w:webHidden/>
              </w:rPr>
              <w:t>62</w:t>
            </w:r>
            <w:r>
              <w:rPr>
                <w:noProof/>
                <w:webHidden/>
              </w:rPr>
              <w:fldChar w:fldCharType="end"/>
            </w:r>
          </w:hyperlink>
        </w:p>
        <w:p w14:paraId="0D1B1AB7" w14:textId="7324869F" w:rsidR="00500FE4" w:rsidRDefault="00500FE4">
          <w:pPr>
            <w:pStyle w:val="TOC3"/>
            <w:tabs>
              <w:tab w:val="right" w:pos="9742"/>
            </w:tabs>
            <w:rPr>
              <w:rFonts w:asciiTheme="minorHAnsi" w:eastAsiaTheme="minorEastAsia" w:hAnsiTheme="minorHAnsi" w:cstheme="minorBidi"/>
              <w:noProof/>
              <w:lang w:val="en-MY" w:eastAsia="zh-CN"/>
            </w:rPr>
          </w:pPr>
          <w:hyperlink w:anchor="_Toc62221458" w:history="1">
            <w:r w:rsidRPr="00031C90">
              <w:rPr>
                <w:rStyle w:val="Hyperlink"/>
                <w:noProof/>
              </w:rPr>
              <w:t>Population growth</w:t>
            </w:r>
            <w:r>
              <w:rPr>
                <w:noProof/>
                <w:webHidden/>
              </w:rPr>
              <w:tab/>
            </w:r>
            <w:r>
              <w:rPr>
                <w:noProof/>
                <w:webHidden/>
              </w:rPr>
              <w:fldChar w:fldCharType="begin"/>
            </w:r>
            <w:r>
              <w:rPr>
                <w:noProof/>
                <w:webHidden/>
              </w:rPr>
              <w:instrText xml:space="preserve"> PAGEREF _Toc62221458 \h </w:instrText>
            </w:r>
            <w:r>
              <w:rPr>
                <w:noProof/>
                <w:webHidden/>
              </w:rPr>
            </w:r>
            <w:r>
              <w:rPr>
                <w:noProof/>
                <w:webHidden/>
              </w:rPr>
              <w:fldChar w:fldCharType="separate"/>
            </w:r>
            <w:r>
              <w:rPr>
                <w:noProof/>
                <w:webHidden/>
              </w:rPr>
              <w:t>62</w:t>
            </w:r>
            <w:r>
              <w:rPr>
                <w:noProof/>
                <w:webHidden/>
              </w:rPr>
              <w:fldChar w:fldCharType="end"/>
            </w:r>
          </w:hyperlink>
        </w:p>
        <w:p w14:paraId="63DC982C" w14:textId="2A105BDC" w:rsidR="00500FE4" w:rsidRDefault="00500FE4">
          <w:pPr>
            <w:pStyle w:val="TOC3"/>
            <w:tabs>
              <w:tab w:val="right" w:pos="9742"/>
            </w:tabs>
            <w:rPr>
              <w:rFonts w:asciiTheme="minorHAnsi" w:eastAsiaTheme="minorEastAsia" w:hAnsiTheme="minorHAnsi" w:cstheme="minorBidi"/>
              <w:noProof/>
              <w:lang w:val="en-MY" w:eastAsia="zh-CN"/>
            </w:rPr>
          </w:pPr>
          <w:hyperlink w:anchor="_Toc62221459" w:history="1">
            <w:r w:rsidRPr="00031C90">
              <w:rPr>
                <w:rStyle w:val="Hyperlink"/>
                <w:noProof/>
              </w:rPr>
              <w:t>Household size</w:t>
            </w:r>
            <w:r>
              <w:rPr>
                <w:noProof/>
                <w:webHidden/>
              </w:rPr>
              <w:tab/>
            </w:r>
            <w:r>
              <w:rPr>
                <w:noProof/>
                <w:webHidden/>
              </w:rPr>
              <w:fldChar w:fldCharType="begin"/>
            </w:r>
            <w:r>
              <w:rPr>
                <w:noProof/>
                <w:webHidden/>
              </w:rPr>
              <w:instrText xml:space="preserve"> PAGEREF _Toc62221459 \h </w:instrText>
            </w:r>
            <w:r>
              <w:rPr>
                <w:noProof/>
                <w:webHidden/>
              </w:rPr>
            </w:r>
            <w:r>
              <w:rPr>
                <w:noProof/>
                <w:webHidden/>
              </w:rPr>
              <w:fldChar w:fldCharType="separate"/>
            </w:r>
            <w:r>
              <w:rPr>
                <w:noProof/>
                <w:webHidden/>
              </w:rPr>
              <w:t>62</w:t>
            </w:r>
            <w:r>
              <w:rPr>
                <w:noProof/>
                <w:webHidden/>
              </w:rPr>
              <w:fldChar w:fldCharType="end"/>
            </w:r>
          </w:hyperlink>
        </w:p>
        <w:p w14:paraId="20C6CAF2" w14:textId="4BE47369" w:rsidR="00500FE4" w:rsidRDefault="00500FE4">
          <w:pPr>
            <w:pStyle w:val="TOC3"/>
            <w:tabs>
              <w:tab w:val="right" w:pos="9742"/>
            </w:tabs>
            <w:rPr>
              <w:rFonts w:asciiTheme="minorHAnsi" w:eastAsiaTheme="minorEastAsia" w:hAnsiTheme="minorHAnsi" w:cstheme="minorBidi"/>
              <w:noProof/>
              <w:lang w:val="en-MY" w:eastAsia="zh-CN"/>
            </w:rPr>
          </w:pPr>
          <w:hyperlink w:anchor="_Toc62221460" w:history="1">
            <w:r w:rsidRPr="00031C90">
              <w:rPr>
                <w:rStyle w:val="Hyperlink"/>
                <w:noProof/>
              </w:rPr>
              <w:t>Commercial floor space</w:t>
            </w:r>
            <w:r>
              <w:rPr>
                <w:noProof/>
                <w:webHidden/>
              </w:rPr>
              <w:tab/>
            </w:r>
            <w:r>
              <w:rPr>
                <w:noProof/>
                <w:webHidden/>
              </w:rPr>
              <w:fldChar w:fldCharType="begin"/>
            </w:r>
            <w:r>
              <w:rPr>
                <w:noProof/>
                <w:webHidden/>
              </w:rPr>
              <w:instrText xml:space="preserve"> PAGEREF _Toc62221460 \h </w:instrText>
            </w:r>
            <w:r>
              <w:rPr>
                <w:noProof/>
                <w:webHidden/>
              </w:rPr>
            </w:r>
            <w:r>
              <w:rPr>
                <w:noProof/>
                <w:webHidden/>
              </w:rPr>
              <w:fldChar w:fldCharType="separate"/>
            </w:r>
            <w:r>
              <w:rPr>
                <w:noProof/>
                <w:webHidden/>
              </w:rPr>
              <w:t>63</w:t>
            </w:r>
            <w:r>
              <w:rPr>
                <w:noProof/>
                <w:webHidden/>
              </w:rPr>
              <w:fldChar w:fldCharType="end"/>
            </w:r>
          </w:hyperlink>
        </w:p>
        <w:p w14:paraId="05645C2B" w14:textId="7EF9E935" w:rsidR="00500FE4" w:rsidRDefault="00500FE4">
          <w:pPr>
            <w:pStyle w:val="TOC3"/>
            <w:tabs>
              <w:tab w:val="right" w:pos="9742"/>
            </w:tabs>
            <w:rPr>
              <w:rFonts w:asciiTheme="minorHAnsi" w:eastAsiaTheme="minorEastAsia" w:hAnsiTheme="minorHAnsi" w:cstheme="minorBidi"/>
              <w:noProof/>
              <w:lang w:val="en-MY" w:eastAsia="zh-CN"/>
            </w:rPr>
          </w:pPr>
          <w:hyperlink w:anchor="_Toc62221461" w:history="1">
            <w:r w:rsidRPr="00031C90">
              <w:rPr>
                <w:rStyle w:val="Hyperlink"/>
                <w:noProof/>
              </w:rPr>
              <w:t>Demand</w:t>
            </w:r>
            <w:r>
              <w:rPr>
                <w:noProof/>
                <w:webHidden/>
              </w:rPr>
              <w:tab/>
            </w:r>
            <w:r>
              <w:rPr>
                <w:noProof/>
                <w:webHidden/>
              </w:rPr>
              <w:fldChar w:fldCharType="begin"/>
            </w:r>
            <w:r>
              <w:rPr>
                <w:noProof/>
                <w:webHidden/>
              </w:rPr>
              <w:instrText xml:space="preserve"> PAGEREF _Toc62221461 \h </w:instrText>
            </w:r>
            <w:r>
              <w:rPr>
                <w:noProof/>
                <w:webHidden/>
              </w:rPr>
            </w:r>
            <w:r>
              <w:rPr>
                <w:noProof/>
                <w:webHidden/>
              </w:rPr>
              <w:fldChar w:fldCharType="separate"/>
            </w:r>
            <w:r>
              <w:rPr>
                <w:noProof/>
                <w:webHidden/>
              </w:rPr>
              <w:t>63</w:t>
            </w:r>
            <w:r>
              <w:rPr>
                <w:noProof/>
                <w:webHidden/>
              </w:rPr>
              <w:fldChar w:fldCharType="end"/>
            </w:r>
          </w:hyperlink>
        </w:p>
        <w:p w14:paraId="76307E36" w14:textId="7CC94AD7" w:rsidR="00500FE4" w:rsidRDefault="00500FE4">
          <w:pPr>
            <w:pStyle w:val="TOC3"/>
            <w:tabs>
              <w:tab w:val="right" w:pos="9742"/>
            </w:tabs>
            <w:rPr>
              <w:rFonts w:asciiTheme="minorHAnsi" w:eastAsiaTheme="minorEastAsia" w:hAnsiTheme="minorHAnsi" w:cstheme="minorBidi"/>
              <w:noProof/>
              <w:lang w:val="en-MY" w:eastAsia="zh-CN"/>
            </w:rPr>
          </w:pPr>
          <w:hyperlink w:anchor="_Toc62221462" w:history="1">
            <w:r w:rsidRPr="00031C90">
              <w:rPr>
                <w:rStyle w:val="Hyperlink"/>
                <w:noProof/>
              </w:rPr>
              <w:t>Industry:</w:t>
            </w:r>
            <w:r>
              <w:rPr>
                <w:noProof/>
                <w:webHidden/>
              </w:rPr>
              <w:tab/>
            </w:r>
            <w:r>
              <w:rPr>
                <w:noProof/>
                <w:webHidden/>
              </w:rPr>
              <w:fldChar w:fldCharType="begin"/>
            </w:r>
            <w:r>
              <w:rPr>
                <w:noProof/>
                <w:webHidden/>
              </w:rPr>
              <w:instrText xml:space="preserve"> PAGEREF _Toc62221462 \h </w:instrText>
            </w:r>
            <w:r>
              <w:rPr>
                <w:noProof/>
                <w:webHidden/>
              </w:rPr>
            </w:r>
            <w:r>
              <w:rPr>
                <w:noProof/>
                <w:webHidden/>
              </w:rPr>
              <w:fldChar w:fldCharType="separate"/>
            </w:r>
            <w:r>
              <w:rPr>
                <w:noProof/>
                <w:webHidden/>
              </w:rPr>
              <w:t>63</w:t>
            </w:r>
            <w:r>
              <w:rPr>
                <w:noProof/>
                <w:webHidden/>
              </w:rPr>
              <w:fldChar w:fldCharType="end"/>
            </w:r>
          </w:hyperlink>
        </w:p>
        <w:p w14:paraId="3D66DE58" w14:textId="0E43E730" w:rsidR="00500FE4" w:rsidRDefault="00500FE4">
          <w:pPr>
            <w:pStyle w:val="TOC3"/>
            <w:tabs>
              <w:tab w:val="right" w:pos="9742"/>
            </w:tabs>
            <w:rPr>
              <w:rFonts w:asciiTheme="minorHAnsi" w:eastAsiaTheme="minorEastAsia" w:hAnsiTheme="minorHAnsi" w:cstheme="minorBidi"/>
              <w:noProof/>
              <w:lang w:val="en-MY" w:eastAsia="zh-CN"/>
            </w:rPr>
          </w:pPr>
          <w:hyperlink w:anchor="_Toc62221463" w:history="1">
            <w:r w:rsidRPr="00031C90">
              <w:rPr>
                <w:rStyle w:val="Hyperlink"/>
                <w:noProof/>
              </w:rPr>
              <w:t>Transportation:</w:t>
            </w:r>
            <w:r>
              <w:rPr>
                <w:noProof/>
                <w:webHidden/>
              </w:rPr>
              <w:tab/>
            </w:r>
            <w:r>
              <w:rPr>
                <w:noProof/>
                <w:webHidden/>
              </w:rPr>
              <w:fldChar w:fldCharType="begin"/>
            </w:r>
            <w:r>
              <w:rPr>
                <w:noProof/>
                <w:webHidden/>
              </w:rPr>
              <w:instrText xml:space="preserve"> PAGEREF _Toc62221463 \h </w:instrText>
            </w:r>
            <w:r>
              <w:rPr>
                <w:noProof/>
                <w:webHidden/>
              </w:rPr>
            </w:r>
            <w:r>
              <w:rPr>
                <w:noProof/>
                <w:webHidden/>
              </w:rPr>
              <w:fldChar w:fldCharType="separate"/>
            </w:r>
            <w:r>
              <w:rPr>
                <w:noProof/>
                <w:webHidden/>
              </w:rPr>
              <w:t>63</w:t>
            </w:r>
            <w:r>
              <w:rPr>
                <w:noProof/>
                <w:webHidden/>
              </w:rPr>
              <w:fldChar w:fldCharType="end"/>
            </w:r>
          </w:hyperlink>
        </w:p>
        <w:p w14:paraId="2E6CB235" w14:textId="29BC178E" w:rsidR="00500FE4" w:rsidRDefault="00500FE4">
          <w:pPr>
            <w:pStyle w:val="TOC3"/>
            <w:tabs>
              <w:tab w:val="right" w:pos="9742"/>
            </w:tabs>
            <w:rPr>
              <w:rFonts w:asciiTheme="minorHAnsi" w:eastAsiaTheme="minorEastAsia" w:hAnsiTheme="minorHAnsi" w:cstheme="minorBidi"/>
              <w:noProof/>
              <w:lang w:val="en-MY" w:eastAsia="zh-CN"/>
            </w:rPr>
          </w:pPr>
          <w:hyperlink w:anchor="_Toc62221464" w:history="1">
            <w:r w:rsidRPr="00031C90">
              <w:rPr>
                <w:rStyle w:val="Hyperlink"/>
                <w:noProof/>
              </w:rPr>
              <w:t>Residential:</w:t>
            </w:r>
            <w:r>
              <w:rPr>
                <w:noProof/>
                <w:webHidden/>
              </w:rPr>
              <w:tab/>
            </w:r>
            <w:r>
              <w:rPr>
                <w:noProof/>
                <w:webHidden/>
              </w:rPr>
              <w:fldChar w:fldCharType="begin"/>
            </w:r>
            <w:r>
              <w:rPr>
                <w:noProof/>
                <w:webHidden/>
              </w:rPr>
              <w:instrText xml:space="preserve"> PAGEREF _Toc62221464 \h </w:instrText>
            </w:r>
            <w:r>
              <w:rPr>
                <w:noProof/>
                <w:webHidden/>
              </w:rPr>
            </w:r>
            <w:r>
              <w:rPr>
                <w:noProof/>
                <w:webHidden/>
              </w:rPr>
              <w:fldChar w:fldCharType="separate"/>
            </w:r>
            <w:r>
              <w:rPr>
                <w:noProof/>
                <w:webHidden/>
              </w:rPr>
              <w:t>63</w:t>
            </w:r>
            <w:r>
              <w:rPr>
                <w:noProof/>
                <w:webHidden/>
              </w:rPr>
              <w:fldChar w:fldCharType="end"/>
            </w:r>
          </w:hyperlink>
        </w:p>
        <w:p w14:paraId="1AFD65BC" w14:textId="66E3FB04" w:rsidR="00500FE4" w:rsidRDefault="00500FE4">
          <w:pPr>
            <w:pStyle w:val="TOC3"/>
            <w:tabs>
              <w:tab w:val="right" w:pos="9742"/>
            </w:tabs>
            <w:rPr>
              <w:rFonts w:asciiTheme="minorHAnsi" w:eastAsiaTheme="minorEastAsia" w:hAnsiTheme="minorHAnsi" w:cstheme="minorBidi"/>
              <w:noProof/>
              <w:lang w:val="en-MY" w:eastAsia="zh-CN"/>
            </w:rPr>
          </w:pPr>
          <w:hyperlink w:anchor="_Toc62221465" w:history="1">
            <w:r w:rsidRPr="00031C90">
              <w:rPr>
                <w:rStyle w:val="Hyperlink"/>
                <w:noProof/>
              </w:rPr>
              <w:t>Commercial:</w:t>
            </w:r>
            <w:r>
              <w:rPr>
                <w:noProof/>
                <w:webHidden/>
              </w:rPr>
              <w:tab/>
            </w:r>
            <w:r>
              <w:rPr>
                <w:noProof/>
                <w:webHidden/>
              </w:rPr>
              <w:fldChar w:fldCharType="begin"/>
            </w:r>
            <w:r>
              <w:rPr>
                <w:noProof/>
                <w:webHidden/>
              </w:rPr>
              <w:instrText xml:space="preserve"> PAGEREF _Toc62221465 \h </w:instrText>
            </w:r>
            <w:r>
              <w:rPr>
                <w:noProof/>
                <w:webHidden/>
              </w:rPr>
            </w:r>
            <w:r>
              <w:rPr>
                <w:noProof/>
                <w:webHidden/>
              </w:rPr>
              <w:fldChar w:fldCharType="separate"/>
            </w:r>
            <w:r>
              <w:rPr>
                <w:noProof/>
                <w:webHidden/>
              </w:rPr>
              <w:t>64</w:t>
            </w:r>
            <w:r>
              <w:rPr>
                <w:noProof/>
                <w:webHidden/>
              </w:rPr>
              <w:fldChar w:fldCharType="end"/>
            </w:r>
          </w:hyperlink>
        </w:p>
        <w:p w14:paraId="0634A5E8" w14:textId="0286CE50" w:rsidR="00500FE4" w:rsidRDefault="00500FE4">
          <w:pPr>
            <w:pStyle w:val="TOC3"/>
            <w:tabs>
              <w:tab w:val="right" w:pos="9742"/>
            </w:tabs>
            <w:rPr>
              <w:rFonts w:asciiTheme="minorHAnsi" w:eastAsiaTheme="minorEastAsia" w:hAnsiTheme="minorHAnsi" w:cstheme="minorBidi"/>
              <w:noProof/>
              <w:lang w:val="en-MY" w:eastAsia="zh-CN"/>
            </w:rPr>
          </w:pPr>
          <w:hyperlink w:anchor="_Toc62221466" w:history="1">
            <w:r w:rsidRPr="00031C90">
              <w:rPr>
                <w:rStyle w:val="Hyperlink"/>
                <w:noProof/>
              </w:rPr>
              <w:t>Other sector:</w:t>
            </w:r>
            <w:r>
              <w:rPr>
                <w:noProof/>
                <w:webHidden/>
              </w:rPr>
              <w:tab/>
            </w:r>
            <w:r>
              <w:rPr>
                <w:noProof/>
                <w:webHidden/>
              </w:rPr>
              <w:fldChar w:fldCharType="begin"/>
            </w:r>
            <w:r>
              <w:rPr>
                <w:noProof/>
                <w:webHidden/>
              </w:rPr>
              <w:instrText xml:space="preserve"> PAGEREF _Toc62221466 \h </w:instrText>
            </w:r>
            <w:r>
              <w:rPr>
                <w:noProof/>
                <w:webHidden/>
              </w:rPr>
            </w:r>
            <w:r>
              <w:rPr>
                <w:noProof/>
                <w:webHidden/>
              </w:rPr>
              <w:fldChar w:fldCharType="separate"/>
            </w:r>
            <w:r>
              <w:rPr>
                <w:noProof/>
                <w:webHidden/>
              </w:rPr>
              <w:t>64</w:t>
            </w:r>
            <w:r>
              <w:rPr>
                <w:noProof/>
                <w:webHidden/>
              </w:rPr>
              <w:fldChar w:fldCharType="end"/>
            </w:r>
          </w:hyperlink>
        </w:p>
        <w:p w14:paraId="2CCD6922" w14:textId="2033300E" w:rsidR="00500FE4" w:rsidRDefault="00500FE4">
          <w:pPr>
            <w:pStyle w:val="TOC3"/>
            <w:tabs>
              <w:tab w:val="right" w:pos="9742"/>
            </w:tabs>
            <w:rPr>
              <w:rFonts w:asciiTheme="minorHAnsi" w:eastAsiaTheme="minorEastAsia" w:hAnsiTheme="minorHAnsi" w:cstheme="minorBidi"/>
              <w:noProof/>
              <w:lang w:val="en-MY" w:eastAsia="zh-CN"/>
            </w:rPr>
          </w:pPr>
          <w:hyperlink w:anchor="_Toc62221467" w:history="1">
            <w:r w:rsidRPr="00031C90">
              <w:rPr>
                <w:rStyle w:val="Hyperlink"/>
                <w:noProof/>
              </w:rPr>
              <w:t>Transformation</w:t>
            </w:r>
            <w:r>
              <w:rPr>
                <w:noProof/>
                <w:webHidden/>
              </w:rPr>
              <w:tab/>
            </w:r>
            <w:r>
              <w:rPr>
                <w:noProof/>
                <w:webHidden/>
              </w:rPr>
              <w:fldChar w:fldCharType="begin"/>
            </w:r>
            <w:r>
              <w:rPr>
                <w:noProof/>
                <w:webHidden/>
              </w:rPr>
              <w:instrText xml:space="preserve"> PAGEREF _Toc62221467 \h </w:instrText>
            </w:r>
            <w:r>
              <w:rPr>
                <w:noProof/>
                <w:webHidden/>
              </w:rPr>
            </w:r>
            <w:r>
              <w:rPr>
                <w:noProof/>
                <w:webHidden/>
              </w:rPr>
              <w:fldChar w:fldCharType="separate"/>
            </w:r>
            <w:r>
              <w:rPr>
                <w:noProof/>
                <w:webHidden/>
              </w:rPr>
              <w:t>64</w:t>
            </w:r>
            <w:r>
              <w:rPr>
                <w:noProof/>
                <w:webHidden/>
              </w:rPr>
              <w:fldChar w:fldCharType="end"/>
            </w:r>
          </w:hyperlink>
        </w:p>
        <w:p w14:paraId="5F470B80" w14:textId="3C8670D5"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68" w:history="1">
            <w:r w:rsidRPr="00031C90">
              <w:rPr>
                <w:rStyle w:val="Hyperlink"/>
                <w:noProof/>
              </w:rPr>
              <w:t>III.</w:t>
            </w:r>
            <w:r>
              <w:rPr>
                <w:rFonts w:asciiTheme="minorHAnsi" w:eastAsiaTheme="minorEastAsia" w:hAnsiTheme="minorHAnsi" w:cstheme="minorBidi"/>
                <w:noProof/>
                <w:lang w:val="en-MY" w:eastAsia="zh-CN"/>
              </w:rPr>
              <w:tab/>
            </w:r>
            <w:r w:rsidRPr="00031C90">
              <w:rPr>
                <w:rStyle w:val="Hyperlink"/>
                <w:noProof/>
              </w:rPr>
              <w:t>Economic analysis data</w:t>
            </w:r>
            <w:r>
              <w:rPr>
                <w:noProof/>
                <w:webHidden/>
              </w:rPr>
              <w:tab/>
            </w:r>
            <w:r>
              <w:rPr>
                <w:noProof/>
                <w:webHidden/>
              </w:rPr>
              <w:fldChar w:fldCharType="begin"/>
            </w:r>
            <w:r>
              <w:rPr>
                <w:noProof/>
                <w:webHidden/>
              </w:rPr>
              <w:instrText xml:space="preserve"> PAGEREF _Toc62221468 \h </w:instrText>
            </w:r>
            <w:r>
              <w:rPr>
                <w:noProof/>
                <w:webHidden/>
              </w:rPr>
            </w:r>
            <w:r>
              <w:rPr>
                <w:noProof/>
                <w:webHidden/>
              </w:rPr>
              <w:fldChar w:fldCharType="separate"/>
            </w:r>
            <w:r>
              <w:rPr>
                <w:noProof/>
                <w:webHidden/>
              </w:rPr>
              <w:t>64</w:t>
            </w:r>
            <w:r>
              <w:rPr>
                <w:noProof/>
                <w:webHidden/>
              </w:rPr>
              <w:fldChar w:fldCharType="end"/>
            </w:r>
          </w:hyperlink>
        </w:p>
        <w:p w14:paraId="439118A6" w14:textId="39AE2B33"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469" w:history="1">
            <w:r w:rsidRPr="00031C90">
              <w:rPr>
                <w:rStyle w:val="Hyperlink"/>
                <w:noProof/>
              </w:rPr>
              <w:t>IV.</w:t>
            </w:r>
            <w:r>
              <w:rPr>
                <w:rFonts w:asciiTheme="minorHAnsi" w:eastAsiaTheme="minorEastAsia" w:hAnsiTheme="minorHAnsi" w:cstheme="minorBidi"/>
                <w:noProof/>
                <w:lang w:val="en-MY" w:eastAsia="zh-CN"/>
              </w:rPr>
              <w:tab/>
            </w:r>
            <w:r w:rsidRPr="00031C90">
              <w:rPr>
                <w:rStyle w:val="Hyperlink"/>
                <w:noProof/>
              </w:rPr>
              <w:t>Power generation, by scenario</w:t>
            </w:r>
            <w:r>
              <w:rPr>
                <w:noProof/>
                <w:webHidden/>
              </w:rPr>
              <w:tab/>
            </w:r>
            <w:r>
              <w:rPr>
                <w:noProof/>
                <w:webHidden/>
              </w:rPr>
              <w:fldChar w:fldCharType="begin"/>
            </w:r>
            <w:r>
              <w:rPr>
                <w:noProof/>
                <w:webHidden/>
              </w:rPr>
              <w:instrText xml:space="preserve"> PAGEREF _Toc62221469 \h </w:instrText>
            </w:r>
            <w:r>
              <w:rPr>
                <w:noProof/>
                <w:webHidden/>
              </w:rPr>
            </w:r>
            <w:r>
              <w:rPr>
                <w:noProof/>
                <w:webHidden/>
              </w:rPr>
              <w:fldChar w:fldCharType="separate"/>
            </w:r>
            <w:r>
              <w:rPr>
                <w:noProof/>
                <w:webHidden/>
              </w:rPr>
              <w:t>66</w:t>
            </w:r>
            <w:r>
              <w:rPr>
                <w:noProof/>
                <w:webHidden/>
              </w:rPr>
              <w:fldChar w:fldCharType="end"/>
            </w:r>
          </w:hyperlink>
        </w:p>
        <w:p w14:paraId="306B6868" w14:textId="4A3D8923" w:rsidR="00500FE4" w:rsidRDefault="00500FE4">
          <w:pPr>
            <w:pStyle w:val="TOC2"/>
            <w:tabs>
              <w:tab w:val="left" w:pos="660"/>
              <w:tab w:val="right" w:pos="9742"/>
            </w:tabs>
            <w:rPr>
              <w:rFonts w:asciiTheme="minorHAnsi" w:eastAsiaTheme="minorEastAsia" w:hAnsiTheme="minorHAnsi" w:cstheme="minorBidi"/>
              <w:noProof/>
              <w:lang w:val="en-MY" w:eastAsia="zh-CN"/>
            </w:rPr>
          </w:pPr>
          <w:hyperlink w:anchor="_Toc62221470" w:history="1">
            <w:r w:rsidRPr="00031C90">
              <w:rPr>
                <w:rStyle w:val="Hyperlink"/>
                <w:noProof/>
              </w:rPr>
              <w:t>V.</w:t>
            </w:r>
            <w:r>
              <w:rPr>
                <w:rFonts w:asciiTheme="minorHAnsi" w:eastAsiaTheme="minorEastAsia" w:hAnsiTheme="minorHAnsi" w:cstheme="minorBidi"/>
                <w:noProof/>
                <w:lang w:val="en-MY" w:eastAsia="zh-CN"/>
              </w:rPr>
              <w:tab/>
            </w:r>
            <w:r w:rsidRPr="00031C90">
              <w:rPr>
                <w:rStyle w:val="Hyperlink"/>
                <w:noProof/>
              </w:rPr>
              <w:t>Summary of scenarios</w:t>
            </w:r>
            <w:r>
              <w:rPr>
                <w:noProof/>
                <w:webHidden/>
              </w:rPr>
              <w:tab/>
            </w:r>
            <w:r>
              <w:rPr>
                <w:noProof/>
                <w:webHidden/>
              </w:rPr>
              <w:fldChar w:fldCharType="begin"/>
            </w:r>
            <w:r>
              <w:rPr>
                <w:noProof/>
                <w:webHidden/>
              </w:rPr>
              <w:instrText xml:space="preserve"> PAGEREF _Toc62221470 \h </w:instrText>
            </w:r>
            <w:r>
              <w:rPr>
                <w:noProof/>
                <w:webHidden/>
              </w:rPr>
            </w:r>
            <w:r>
              <w:rPr>
                <w:noProof/>
                <w:webHidden/>
              </w:rPr>
              <w:fldChar w:fldCharType="separate"/>
            </w:r>
            <w:r>
              <w:rPr>
                <w:noProof/>
                <w:webHidden/>
              </w:rPr>
              <w:t>68</w:t>
            </w:r>
            <w:r>
              <w:rPr>
                <w:noProof/>
                <w:webHidden/>
              </w:rPr>
              <w:fldChar w:fldCharType="end"/>
            </w:r>
          </w:hyperlink>
        </w:p>
        <w:p w14:paraId="239117ED" w14:textId="5281EBAE" w:rsidR="00500FE4" w:rsidRDefault="00500FE4">
          <w:pPr>
            <w:pStyle w:val="TOC3"/>
            <w:tabs>
              <w:tab w:val="right" w:pos="9742"/>
            </w:tabs>
            <w:rPr>
              <w:rFonts w:asciiTheme="minorHAnsi" w:eastAsiaTheme="minorEastAsia" w:hAnsiTheme="minorHAnsi" w:cstheme="minorBidi"/>
              <w:noProof/>
              <w:lang w:val="en-MY" w:eastAsia="zh-CN"/>
            </w:rPr>
          </w:pPr>
          <w:hyperlink w:anchor="_Toc62221471" w:history="1">
            <w:r w:rsidRPr="00031C90">
              <w:rPr>
                <w:rStyle w:val="Hyperlink"/>
                <w:noProof/>
              </w:rPr>
              <w:t>BAU</w:t>
            </w:r>
            <w:r>
              <w:rPr>
                <w:noProof/>
                <w:webHidden/>
              </w:rPr>
              <w:tab/>
            </w:r>
            <w:r>
              <w:rPr>
                <w:noProof/>
                <w:webHidden/>
              </w:rPr>
              <w:fldChar w:fldCharType="begin"/>
            </w:r>
            <w:r>
              <w:rPr>
                <w:noProof/>
                <w:webHidden/>
              </w:rPr>
              <w:instrText xml:space="preserve"> PAGEREF _Toc62221471 \h </w:instrText>
            </w:r>
            <w:r>
              <w:rPr>
                <w:noProof/>
                <w:webHidden/>
              </w:rPr>
            </w:r>
            <w:r>
              <w:rPr>
                <w:noProof/>
                <w:webHidden/>
              </w:rPr>
              <w:fldChar w:fldCharType="separate"/>
            </w:r>
            <w:r>
              <w:rPr>
                <w:noProof/>
                <w:webHidden/>
              </w:rPr>
              <w:t>68</w:t>
            </w:r>
            <w:r>
              <w:rPr>
                <w:noProof/>
                <w:webHidden/>
              </w:rPr>
              <w:fldChar w:fldCharType="end"/>
            </w:r>
          </w:hyperlink>
        </w:p>
        <w:p w14:paraId="104FB724" w14:textId="0C6D575A" w:rsidR="00500FE4" w:rsidRDefault="00500FE4">
          <w:pPr>
            <w:pStyle w:val="TOC4"/>
            <w:tabs>
              <w:tab w:val="right" w:pos="9742"/>
            </w:tabs>
            <w:rPr>
              <w:rFonts w:asciiTheme="minorHAnsi" w:eastAsiaTheme="minorEastAsia" w:hAnsiTheme="minorHAnsi" w:cstheme="minorBidi"/>
              <w:noProof/>
              <w:lang w:val="en-MY" w:eastAsia="zh-CN"/>
            </w:rPr>
          </w:pPr>
          <w:hyperlink w:anchor="_Toc62221472"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_Toc62221472 \h </w:instrText>
            </w:r>
            <w:r>
              <w:rPr>
                <w:noProof/>
                <w:webHidden/>
              </w:rPr>
            </w:r>
            <w:r>
              <w:rPr>
                <w:noProof/>
                <w:webHidden/>
              </w:rPr>
              <w:fldChar w:fldCharType="separate"/>
            </w:r>
            <w:r>
              <w:rPr>
                <w:noProof/>
                <w:webHidden/>
              </w:rPr>
              <w:t>68</w:t>
            </w:r>
            <w:r>
              <w:rPr>
                <w:noProof/>
                <w:webHidden/>
              </w:rPr>
              <w:fldChar w:fldCharType="end"/>
            </w:r>
          </w:hyperlink>
        </w:p>
        <w:p w14:paraId="5D31A3F6" w14:textId="2D1E02C4" w:rsidR="00500FE4" w:rsidRDefault="00500FE4">
          <w:pPr>
            <w:pStyle w:val="TOC5"/>
            <w:tabs>
              <w:tab w:val="right" w:pos="9742"/>
            </w:tabs>
            <w:rPr>
              <w:rFonts w:asciiTheme="minorHAnsi" w:eastAsiaTheme="minorEastAsia" w:hAnsiTheme="minorHAnsi" w:cstheme="minorBidi"/>
              <w:noProof/>
              <w:lang w:val="en-MY" w:eastAsia="zh-CN"/>
            </w:rPr>
          </w:pPr>
          <w:hyperlink w:anchor="_Toc62221473"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_Toc62221473 \h </w:instrText>
            </w:r>
            <w:r>
              <w:rPr>
                <w:noProof/>
                <w:webHidden/>
              </w:rPr>
            </w:r>
            <w:r>
              <w:rPr>
                <w:noProof/>
                <w:webHidden/>
              </w:rPr>
              <w:fldChar w:fldCharType="separate"/>
            </w:r>
            <w:r>
              <w:rPr>
                <w:noProof/>
                <w:webHidden/>
              </w:rPr>
              <w:t>68</w:t>
            </w:r>
            <w:r>
              <w:rPr>
                <w:noProof/>
                <w:webHidden/>
              </w:rPr>
              <w:fldChar w:fldCharType="end"/>
            </w:r>
          </w:hyperlink>
        </w:p>
        <w:p w14:paraId="546C03EF" w14:textId="54C6DAA7" w:rsidR="00500FE4" w:rsidRDefault="00500FE4">
          <w:pPr>
            <w:pStyle w:val="TOC5"/>
            <w:tabs>
              <w:tab w:val="right" w:pos="9742"/>
            </w:tabs>
            <w:rPr>
              <w:rFonts w:asciiTheme="minorHAnsi" w:eastAsiaTheme="minorEastAsia" w:hAnsiTheme="minorHAnsi" w:cstheme="minorBidi"/>
              <w:noProof/>
              <w:lang w:val="en-MY" w:eastAsia="zh-CN"/>
            </w:rPr>
          </w:pPr>
          <w:hyperlink w:anchor="_Toc62221474"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_Toc62221474 \h </w:instrText>
            </w:r>
            <w:r>
              <w:rPr>
                <w:noProof/>
                <w:webHidden/>
              </w:rPr>
            </w:r>
            <w:r>
              <w:rPr>
                <w:noProof/>
                <w:webHidden/>
              </w:rPr>
              <w:fldChar w:fldCharType="separate"/>
            </w:r>
            <w:r>
              <w:rPr>
                <w:noProof/>
                <w:webHidden/>
              </w:rPr>
              <w:t>68</w:t>
            </w:r>
            <w:r>
              <w:rPr>
                <w:noProof/>
                <w:webHidden/>
              </w:rPr>
              <w:fldChar w:fldCharType="end"/>
            </w:r>
          </w:hyperlink>
        </w:p>
        <w:p w14:paraId="4EDFD36C" w14:textId="3F4DB0CF" w:rsidR="00500FE4" w:rsidRDefault="00500FE4">
          <w:pPr>
            <w:pStyle w:val="TOC5"/>
            <w:tabs>
              <w:tab w:val="right" w:pos="9742"/>
            </w:tabs>
            <w:rPr>
              <w:rFonts w:asciiTheme="minorHAnsi" w:eastAsiaTheme="minorEastAsia" w:hAnsiTheme="minorHAnsi" w:cstheme="minorBidi"/>
              <w:noProof/>
              <w:lang w:val="en-MY" w:eastAsia="zh-CN"/>
            </w:rPr>
          </w:pPr>
          <w:hyperlink w:anchor="_Toc62221475"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_Toc62221475 \h </w:instrText>
            </w:r>
            <w:r>
              <w:rPr>
                <w:noProof/>
                <w:webHidden/>
              </w:rPr>
            </w:r>
            <w:r>
              <w:rPr>
                <w:noProof/>
                <w:webHidden/>
              </w:rPr>
              <w:fldChar w:fldCharType="separate"/>
            </w:r>
            <w:r>
              <w:rPr>
                <w:noProof/>
                <w:webHidden/>
              </w:rPr>
              <w:t>68</w:t>
            </w:r>
            <w:r>
              <w:rPr>
                <w:noProof/>
                <w:webHidden/>
              </w:rPr>
              <w:fldChar w:fldCharType="end"/>
            </w:r>
          </w:hyperlink>
        </w:p>
        <w:p w14:paraId="7BBEA9C7" w14:textId="40804670" w:rsidR="00500FE4" w:rsidRDefault="00500FE4">
          <w:pPr>
            <w:pStyle w:val="TOC5"/>
            <w:tabs>
              <w:tab w:val="right" w:pos="9742"/>
            </w:tabs>
            <w:rPr>
              <w:rFonts w:asciiTheme="minorHAnsi" w:eastAsiaTheme="minorEastAsia" w:hAnsiTheme="minorHAnsi" w:cstheme="minorBidi"/>
              <w:noProof/>
              <w:lang w:val="en-MY" w:eastAsia="zh-CN"/>
            </w:rPr>
          </w:pPr>
          <w:hyperlink w:anchor="_Toc62221476"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_Toc62221476 \h </w:instrText>
            </w:r>
            <w:r>
              <w:rPr>
                <w:noProof/>
                <w:webHidden/>
              </w:rPr>
            </w:r>
            <w:r>
              <w:rPr>
                <w:noProof/>
                <w:webHidden/>
              </w:rPr>
              <w:fldChar w:fldCharType="separate"/>
            </w:r>
            <w:r>
              <w:rPr>
                <w:noProof/>
                <w:webHidden/>
              </w:rPr>
              <w:t>68</w:t>
            </w:r>
            <w:r>
              <w:rPr>
                <w:noProof/>
                <w:webHidden/>
              </w:rPr>
              <w:fldChar w:fldCharType="end"/>
            </w:r>
          </w:hyperlink>
        </w:p>
        <w:p w14:paraId="5C842570" w14:textId="26DB31E4" w:rsidR="00500FE4" w:rsidRDefault="00500FE4">
          <w:pPr>
            <w:pStyle w:val="TOC5"/>
            <w:tabs>
              <w:tab w:val="right" w:pos="9742"/>
            </w:tabs>
            <w:rPr>
              <w:rFonts w:asciiTheme="minorHAnsi" w:eastAsiaTheme="minorEastAsia" w:hAnsiTheme="minorHAnsi" w:cstheme="minorBidi"/>
              <w:noProof/>
              <w:lang w:val="en-MY" w:eastAsia="zh-CN"/>
            </w:rPr>
          </w:pPr>
          <w:hyperlink w:anchor="_Toc62221477" w:history="1">
            <w:r w:rsidRPr="00031C90">
              <w:rPr>
                <w:rStyle w:val="Hyperlink"/>
                <w:noProof/>
              </w:rPr>
              <w:t>NDC unconditional target</w:t>
            </w:r>
            <w:r>
              <w:rPr>
                <w:noProof/>
                <w:webHidden/>
              </w:rPr>
              <w:tab/>
            </w:r>
            <w:r>
              <w:rPr>
                <w:noProof/>
                <w:webHidden/>
              </w:rPr>
              <w:fldChar w:fldCharType="begin"/>
            </w:r>
            <w:r>
              <w:rPr>
                <w:noProof/>
                <w:webHidden/>
              </w:rPr>
              <w:instrText xml:space="preserve"> PAGEREF _Toc62221477 \h </w:instrText>
            </w:r>
            <w:r>
              <w:rPr>
                <w:noProof/>
                <w:webHidden/>
              </w:rPr>
            </w:r>
            <w:r>
              <w:rPr>
                <w:noProof/>
                <w:webHidden/>
              </w:rPr>
              <w:fldChar w:fldCharType="separate"/>
            </w:r>
            <w:r>
              <w:rPr>
                <w:noProof/>
                <w:webHidden/>
              </w:rPr>
              <w:t>68</w:t>
            </w:r>
            <w:r>
              <w:rPr>
                <w:noProof/>
                <w:webHidden/>
              </w:rPr>
              <w:fldChar w:fldCharType="end"/>
            </w:r>
          </w:hyperlink>
        </w:p>
        <w:p w14:paraId="549D1420" w14:textId="704C5745" w:rsidR="00500FE4" w:rsidRDefault="00500FE4">
          <w:pPr>
            <w:pStyle w:val="TOC5"/>
            <w:tabs>
              <w:tab w:val="right" w:pos="9742"/>
            </w:tabs>
            <w:rPr>
              <w:rFonts w:asciiTheme="minorHAnsi" w:eastAsiaTheme="minorEastAsia" w:hAnsiTheme="minorHAnsi" w:cstheme="minorBidi"/>
              <w:noProof/>
              <w:lang w:val="en-MY" w:eastAsia="zh-CN"/>
            </w:rPr>
          </w:pPr>
          <w:hyperlink w:anchor="_Toc62221478" w:history="1">
            <w:r w:rsidRPr="00031C90">
              <w:rPr>
                <w:rStyle w:val="Hyperlink"/>
                <w:noProof/>
              </w:rPr>
              <w:t>Investment required: IDR 1,464 trillion (US$ 103 billion)</w:t>
            </w:r>
            <w:r>
              <w:rPr>
                <w:noProof/>
                <w:webHidden/>
              </w:rPr>
              <w:tab/>
            </w:r>
            <w:r>
              <w:rPr>
                <w:noProof/>
                <w:webHidden/>
              </w:rPr>
              <w:fldChar w:fldCharType="begin"/>
            </w:r>
            <w:r>
              <w:rPr>
                <w:noProof/>
                <w:webHidden/>
              </w:rPr>
              <w:instrText xml:space="preserve"> PAGEREF _Toc62221478 \h </w:instrText>
            </w:r>
            <w:r>
              <w:rPr>
                <w:noProof/>
                <w:webHidden/>
              </w:rPr>
            </w:r>
            <w:r>
              <w:rPr>
                <w:noProof/>
                <w:webHidden/>
              </w:rPr>
              <w:fldChar w:fldCharType="separate"/>
            </w:r>
            <w:r>
              <w:rPr>
                <w:noProof/>
                <w:webHidden/>
              </w:rPr>
              <w:t>69</w:t>
            </w:r>
            <w:r>
              <w:rPr>
                <w:noProof/>
                <w:webHidden/>
              </w:rPr>
              <w:fldChar w:fldCharType="end"/>
            </w:r>
          </w:hyperlink>
        </w:p>
        <w:p w14:paraId="2919F2AF" w14:textId="51D6E1A4" w:rsidR="00500FE4" w:rsidRDefault="00500FE4">
          <w:pPr>
            <w:pStyle w:val="TOC5"/>
            <w:tabs>
              <w:tab w:val="right" w:pos="9742"/>
            </w:tabs>
            <w:rPr>
              <w:rFonts w:asciiTheme="minorHAnsi" w:eastAsiaTheme="minorEastAsia" w:hAnsiTheme="minorHAnsi" w:cstheme="minorBidi"/>
              <w:noProof/>
              <w:lang w:val="en-MY" w:eastAsia="zh-CN"/>
            </w:rPr>
          </w:pPr>
          <w:hyperlink w:anchor="_Toc62221479"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_Toc62221479 \h </w:instrText>
            </w:r>
            <w:r>
              <w:rPr>
                <w:noProof/>
                <w:webHidden/>
              </w:rPr>
            </w:r>
            <w:r>
              <w:rPr>
                <w:noProof/>
                <w:webHidden/>
              </w:rPr>
              <w:fldChar w:fldCharType="separate"/>
            </w:r>
            <w:r>
              <w:rPr>
                <w:noProof/>
                <w:webHidden/>
              </w:rPr>
              <w:t>69</w:t>
            </w:r>
            <w:r>
              <w:rPr>
                <w:noProof/>
                <w:webHidden/>
              </w:rPr>
              <w:fldChar w:fldCharType="end"/>
            </w:r>
          </w:hyperlink>
        </w:p>
        <w:p w14:paraId="637FDBFE" w14:textId="1D61E9DA" w:rsidR="00500FE4" w:rsidRDefault="00500FE4">
          <w:pPr>
            <w:pStyle w:val="TOC5"/>
            <w:tabs>
              <w:tab w:val="right" w:pos="9742"/>
            </w:tabs>
            <w:rPr>
              <w:rFonts w:asciiTheme="minorHAnsi" w:eastAsiaTheme="minorEastAsia" w:hAnsiTheme="minorHAnsi" w:cstheme="minorBidi"/>
              <w:noProof/>
              <w:lang w:val="en-MY" w:eastAsia="zh-CN"/>
            </w:rPr>
          </w:pPr>
          <w:hyperlink w:anchor="_Toc62221480" w:history="1">
            <w:r w:rsidRPr="00031C90">
              <w:rPr>
                <w:rStyle w:val="Hyperlink"/>
                <w:noProof/>
              </w:rPr>
              <w:t>Coal lock-in</w:t>
            </w:r>
            <w:r>
              <w:rPr>
                <w:noProof/>
                <w:webHidden/>
              </w:rPr>
              <w:tab/>
            </w:r>
            <w:r>
              <w:rPr>
                <w:noProof/>
                <w:webHidden/>
              </w:rPr>
              <w:fldChar w:fldCharType="begin"/>
            </w:r>
            <w:r>
              <w:rPr>
                <w:noProof/>
                <w:webHidden/>
              </w:rPr>
              <w:instrText xml:space="preserve"> PAGEREF _Toc62221480 \h </w:instrText>
            </w:r>
            <w:r>
              <w:rPr>
                <w:noProof/>
                <w:webHidden/>
              </w:rPr>
            </w:r>
            <w:r>
              <w:rPr>
                <w:noProof/>
                <w:webHidden/>
              </w:rPr>
              <w:fldChar w:fldCharType="separate"/>
            </w:r>
            <w:r>
              <w:rPr>
                <w:noProof/>
                <w:webHidden/>
              </w:rPr>
              <w:t>69</w:t>
            </w:r>
            <w:r>
              <w:rPr>
                <w:noProof/>
                <w:webHidden/>
              </w:rPr>
              <w:fldChar w:fldCharType="end"/>
            </w:r>
          </w:hyperlink>
        </w:p>
        <w:p w14:paraId="3B2796DC" w14:textId="27C169F1" w:rsidR="00500FE4" w:rsidRDefault="00500FE4">
          <w:pPr>
            <w:pStyle w:val="TOC5"/>
            <w:tabs>
              <w:tab w:val="right" w:pos="9742"/>
            </w:tabs>
            <w:rPr>
              <w:rFonts w:asciiTheme="minorHAnsi" w:eastAsiaTheme="minorEastAsia" w:hAnsiTheme="minorHAnsi" w:cstheme="minorBidi"/>
              <w:noProof/>
              <w:lang w:val="en-MY" w:eastAsia="zh-CN"/>
            </w:rPr>
          </w:pPr>
          <w:hyperlink w:anchor="_Toc62221481" w:history="1">
            <w:r w:rsidRPr="00031C90">
              <w:rPr>
                <w:rStyle w:val="Hyperlink"/>
                <w:noProof/>
              </w:rPr>
              <w:t>Fossil fuel subsidy</w:t>
            </w:r>
            <w:r>
              <w:rPr>
                <w:noProof/>
                <w:webHidden/>
              </w:rPr>
              <w:tab/>
            </w:r>
            <w:r>
              <w:rPr>
                <w:noProof/>
                <w:webHidden/>
              </w:rPr>
              <w:fldChar w:fldCharType="begin"/>
            </w:r>
            <w:r>
              <w:rPr>
                <w:noProof/>
                <w:webHidden/>
              </w:rPr>
              <w:instrText xml:space="preserve"> PAGEREF _Toc62221481 \h </w:instrText>
            </w:r>
            <w:r>
              <w:rPr>
                <w:noProof/>
                <w:webHidden/>
              </w:rPr>
            </w:r>
            <w:r>
              <w:rPr>
                <w:noProof/>
                <w:webHidden/>
              </w:rPr>
              <w:fldChar w:fldCharType="separate"/>
            </w:r>
            <w:r>
              <w:rPr>
                <w:noProof/>
                <w:webHidden/>
              </w:rPr>
              <w:t>69</w:t>
            </w:r>
            <w:r>
              <w:rPr>
                <w:noProof/>
                <w:webHidden/>
              </w:rPr>
              <w:fldChar w:fldCharType="end"/>
            </w:r>
          </w:hyperlink>
        </w:p>
        <w:p w14:paraId="78D34BDD" w14:textId="3BFCFBE9" w:rsidR="00500FE4" w:rsidRDefault="00500FE4">
          <w:pPr>
            <w:pStyle w:val="TOC5"/>
            <w:tabs>
              <w:tab w:val="right" w:pos="9742"/>
            </w:tabs>
            <w:rPr>
              <w:rFonts w:asciiTheme="minorHAnsi" w:eastAsiaTheme="minorEastAsia" w:hAnsiTheme="minorHAnsi" w:cstheme="minorBidi"/>
              <w:noProof/>
              <w:lang w:val="en-MY" w:eastAsia="zh-CN"/>
            </w:rPr>
          </w:pPr>
          <w:hyperlink w:anchor="_Toc62221482" w:history="1">
            <w:r w:rsidRPr="00031C90">
              <w:rPr>
                <w:rStyle w:val="Hyperlink"/>
                <w:noProof/>
              </w:rPr>
              <w:t>Energy balance</w:t>
            </w:r>
            <w:r>
              <w:rPr>
                <w:noProof/>
                <w:webHidden/>
              </w:rPr>
              <w:tab/>
            </w:r>
            <w:r>
              <w:rPr>
                <w:noProof/>
                <w:webHidden/>
              </w:rPr>
              <w:fldChar w:fldCharType="begin"/>
            </w:r>
            <w:r>
              <w:rPr>
                <w:noProof/>
                <w:webHidden/>
              </w:rPr>
              <w:instrText xml:space="preserve"> PAGEREF _Toc62221482 \h </w:instrText>
            </w:r>
            <w:r>
              <w:rPr>
                <w:noProof/>
                <w:webHidden/>
              </w:rPr>
            </w:r>
            <w:r>
              <w:rPr>
                <w:noProof/>
                <w:webHidden/>
              </w:rPr>
              <w:fldChar w:fldCharType="separate"/>
            </w:r>
            <w:r>
              <w:rPr>
                <w:noProof/>
                <w:webHidden/>
              </w:rPr>
              <w:t>69</w:t>
            </w:r>
            <w:r>
              <w:rPr>
                <w:noProof/>
                <w:webHidden/>
              </w:rPr>
              <w:fldChar w:fldCharType="end"/>
            </w:r>
          </w:hyperlink>
        </w:p>
        <w:p w14:paraId="5D12443C" w14:textId="733A5C0E" w:rsidR="00500FE4" w:rsidRDefault="00500FE4">
          <w:pPr>
            <w:pStyle w:val="TOC3"/>
            <w:tabs>
              <w:tab w:val="right" w:pos="9742"/>
            </w:tabs>
            <w:rPr>
              <w:rFonts w:asciiTheme="minorHAnsi" w:eastAsiaTheme="minorEastAsia" w:hAnsiTheme="minorHAnsi" w:cstheme="minorBidi"/>
              <w:noProof/>
              <w:lang w:val="en-MY" w:eastAsia="zh-CN"/>
            </w:rPr>
          </w:pPr>
          <w:hyperlink w:anchor="_Toc62221483" w:history="1">
            <w:r w:rsidRPr="00031C90">
              <w:rPr>
                <w:rStyle w:val="Hyperlink"/>
                <w:noProof/>
              </w:rPr>
              <w:t>Current policy scenario</w:t>
            </w:r>
            <w:r>
              <w:rPr>
                <w:noProof/>
                <w:webHidden/>
              </w:rPr>
              <w:tab/>
            </w:r>
            <w:r>
              <w:rPr>
                <w:noProof/>
                <w:webHidden/>
              </w:rPr>
              <w:fldChar w:fldCharType="begin"/>
            </w:r>
            <w:r>
              <w:rPr>
                <w:noProof/>
                <w:webHidden/>
              </w:rPr>
              <w:instrText xml:space="preserve"> PAGEREF _Toc62221483 \h </w:instrText>
            </w:r>
            <w:r>
              <w:rPr>
                <w:noProof/>
                <w:webHidden/>
              </w:rPr>
            </w:r>
            <w:r>
              <w:rPr>
                <w:noProof/>
                <w:webHidden/>
              </w:rPr>
              <w:fldChar w:fldCharType="separate"/>
            </w:r>
            <w:r>
              <w:rPr>
                <w:noProof/>
                <w:webHidden/>
              </w:rPr>
              <w:t>69</w:t>
            </w:r>
            <w:r>
              <w:rPr>
                <w:noProof/>
                <w:webHidden/>
              </w:rPr>
              <w:fldChar w:fldCharType="end"/>
            </w:r>
          </w:hyperlink>
        </w:p>
        <w:p w14:paraId="20D0A1D1" w14:textId="363F4794" w:rsidR="00500FE4" w:rsidRDefault="00500FE4">
          <w:pPr>
            <w:pStyle w:val="TOC4"/>
            <w:tabs>
              <w:tab w:val="right" w:pos="9742"/>
            </w:tabs>
            <w:rPr>
              <w:rFonts w:asciiTheme="minorHAnsi" w:eastAsiaTheme="minorEastAsia" w:hAnsiTheme="minorHAnsi" w:cstheme="minorBidi"/>
              <w:noProof/>
              <w:lang w:val="en-MY" w:eastAsia="zh-CN"/>
            </w:rPr>
          </w:pPr>
          <w:hyperlink w:anchor="_Toc62221484"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_Toc62221484 \h </w:instrText>
            </w:r>
            <w:r>
              <w:rPr>
                <w:noProof/>
                <w:webHidden/>
              </w:rPr>
            </w:r>
            <w:r>
              <w:rPr>
                <w:noProof/>
                <w:webHidden/>
              </w:rPr>
              <w:fldChar w:fldCharType="separate"/>
            </w:r>
            <w:r>
              <w:rPr>
                <w:noProof/>
                <w:webHidden/>
              </w:rPr>
              <w:t>69</w:t>
            </w:r>
            <w:r>
              <w:rPr>
                <w:noProof/>
                <w:webHidden/>
              </w:rPr>
              <w:fldChar w:fldCharType="end"/>
            </w:r>
          </w:hyperlink>
        </w:p>
        <w:p w14:paraId="7EDC979A" w14:textId="11953E8D" w:rsidR="00500FE4" w:rsidRDefault="00500FE4">
          <w:pPr>
            <w:pStyle w:val="TOC5"/>
            <w:tabs>
              <w:tab w:val="right" w:pos="9742"/>
            </w:tabs>
            <w:rPr>
              <w:rFonts w:asciiTheme="minorHAnsi" w:eastAsiaTheme="minorEastAsia" w:hAnsiTheme="minorHAnsi" w:cstheme="minorBidi"/>
              <w:noProof/>
              <w:lang w:val="en-MY" w:eastAsia="zh-CN"/>
            </w:rPr>
          </w:pPr>
          <w:hyperlink w:anchor="_Toc62221485"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_Toc62221485 \h </w:instrText>
            </w:r>
            <w:r>
              <w:rPr>
                <w:noProof/>
                <w:webHidden/>
              </w:rPr>
            </w:r>
            <w:r>
              <w:rPr>
                <w:noProof/>
                <w:webHidden/>
              </w:rPr>
              <w:fldChar w:fldCharType="separate"/>
            </w:r>
            <w:r>
              <w:rPr>
                <w:noProof/>
                <w:webHidden/>
              </w:rPr>
              <w:t>69</w:t>
            </w:r>
            <w:r>
              <w:rPr>
                <w:noProof/>
                <w:webHidden/>
              </w:rPr>
              <w:fldChar w:fldCharType="end"/>
            </w:r>
          </w:hyperlink>
        </w:p>
        <w:p w14:paraId="6FB0F67D" w14:textId="5F235859" w:rsidR="00500FE4" w:rsidRDefault="00500FE4">
          <w:pPr>
            <w:pStyle w:val="TOC5"/>
            <w:tabs>
              <w:tab w:val="right" w:pos="9742"/>
            </w:tabs>
            <w:rPr>
              <w:rFonts w:asciiTheme="minorHAnsi" w:eastAsiaTheme="minorEastAsia" w:hAnsiTheme="minorHAnsi" w:cstheme="minorBidi"/>
              <w:noProof/>
              <w:lang w:val="en-MY" w:eastAsia="zh-CN"/>
            </w:rPr>
          </w:pPr>
          <w:hyperlink w:anchor="_Toc62221486"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_Toc62221486 \h </w:instrText>
            </w:r>
            <w:r>
              <w:rPr>
                <w:noProof/>
                <w:webHidden/>
              </w:rPr>
            </w:r>
            <w:r>
              <w:rPr>
                <w:noProof/>
                <w:webHidden/>
              </w:rPr>
              <w:fldChar w:fldCharType="separate"/>
            </w:r>
            <w:r>
              <w:rPr>
                <w:noProof/>
                <w:webHidden/>
              </w:rPr>
              <w:t>69</w:t>
            </w:r>
            <w:r>
              <w:rPr>
                <w:noProof/>
                <w:webHidden/>
              </w:rPr>
              <w:fldChar w:fldCharType="end"/>
            </w:r>
          </w:hyperlink>
        </w:p>
        <w:p w14:paraId="72ED09E0" w14:textId="31BDE40C" w:rsidR="00500FE4" w:rsidRDefault="00500FE4">
          <w:pPr>
            <w:pStyle w:val="TOC5"/>
            <w:tabs>
              <w:tab w:val="right" w:pos="9742"/>
            </w:tabs>
            <w:rPr>
              <w:rFonts w:asciiTheme="minorHAnsi" w:eastAsiaTheme="minorEastAsia" w:hAnsiTheme="minorHAnsi" w:cstheme="minorBidi"/>
              <w:noProof/>
              <w:lang w:val="en-MY" w:eastAsia="zh-CN"/>
            </w:rPr>
          </w:pPr>
          <w:hyperlink w:anchor="_Toc62221487"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_Toc62221487 \h </w:instrText>
            </w:r>
            <w:r>
              <w:rPr>
                <w:noProof/>
                <w:webHidden/>
              </w:rPr>
            </w:r>
            <w:r>
              <w:rPr>
                <w:noProof/>
                <w:webHidden/>
              </w:rPr>
              <w:fldChar w:fldCharType="separate"/>
            </w:r>
            <w:r>
              <w:rPr>
                <w:noProof/>
                <w:webHidden/>
              </w:rPr>
              <w:t>69</w:t>
            </w:r>
            <w:r>
              <w:rPr>
                <w:noProof/>
                <w:webHidden/>
              </w:rPr>
              <w:fldChar w:fldCharType="end"/>
            </w:r>
          </w:hyperlink>
        </w:p>
        <w:p w14:paraId="0AA0C8F2" w14:textId="6B6AFC92" w:rsidR="00500FE4" w:rsidRDefault="00500FE4">
          <w:pPr>
            <w:pStyle w:val="TOC5"/>
            <w:tabs>
              <w:tab w:val="right" w:pos="9742"/>
            </w:tabs>
            <w:rPr>
              <w:rFonts w:asciiTheme="minorHAnsi" w:eastAsiaTheme="minorEastAsia" w:hAnsiTheme="minorHAnsi" w:cstheme="minorBidi"/>
              <w:noProof/>
              <w:lang w:val="en-MY" w:eastAsia="zh-CN"/>
            </w:rPr>
          </w:pPr>
          <w:hyperlink w:anchor="_Toc62221488"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_Toc62221488 \h </w:instrText>
            </w:r>
            <w:r>
              <w:rPr>
                <w:noProof/>
                <w:webHidden/>
              </w:rPr>
            </w:r>
            <w:r>
              <w:rPr>
                <w:noProof/>
                <w:webHidden/>
              </w:rPr>
              <w:fldChar w:fldCharType="separate"/>
            </w:r>
            <w:r>
              <w:rPr>
                <w:noProof/>
                <w:webHidden/>
              </w:rPr>
              <w:t>70</w:t>
            </w:r>
            <w:r>
              <w:rPr>
                <w:noProof/>
                <w:webHidden/>
              </w:rPr>
              <w:fldChar w:fldCharType="end"/>
            </w:r>
          </w:hyperlink>
        </w:p>
        <w:p w14:paraId="5549950C" w14:textId="36D71FAD" w:rsidR="00500FE4" w:rsidRDefault="00500FE4">
          <w:pPr>
            <w:pStyle w:val="TOC5"/>
            <w:tabs>
              <w:tab w:val="right" w:pos="9742"/>
            </w:tabs>
            <w:rPr>
              <w:rFonts w:asciiTheme="minorHAnsi" w:eastAsiaTheme="minorEastAsia" w:hAnsiTheme="minorHAnsi" w:cstheme="minorBidi"/>
              <w:noProof/>
              <w:lang w:val="en-MY" w:eastAsia="zh-CN"/>
            </w:rPr>
          </w:pPr>
          <w:hyperlink w:anchor="_Toc62221489" w:history="1">
            <w:r w:rsidRPr="00031C90">
              <w:rPr>
                <w:rStyle w:val="Hyperlink"/>
                <w:noProof/>
              </w:rPr>
              <w:t>NDC Unconditional target</w:t>
            </w:r>
            <w:r>
              <w:rPr>
                <w:noProof/>
                <w:webHidden/>
              </w:rPr>
              <w:tab/>
            </w:r>
            <w:r>
              <w:rPr>
                <w:noProof/>
                <w:webHidden/>
              </w:rPr>
              <w:fldChar w:fldCharType="begin"/>
            </w:r>
            <w:r>
              <w:rPr>
                <w:noProof/>
                <w:webHidden/>
              </w:rPr>
              <w:instrText xml:space="preserve"> PAGEREF _Toc62221489 \h </w:instrText>
            </w:r>
            <w:r>
              <w:rPr>
                <w:noProof/>
                <w:webHidden/>
              </w:rPr>
            </w:r>
            <w:r>
              <w:rPr>
                <w:noProof/>
                <w:webHidden/>
              </w:rPr>
              <w:fldChar w:fldCharType="separate"/>
            </w:r>
            <w:r>
              <w:rPr>
                <w:noProof/>
                <w:webHidden/>
              </w:rPr>
              <w:t>70</w:t>
            </w:r>
            <w:r>
              <w:rPr>
                <w:noProof/>
                <w:webHidden/>
              </w:rPr>
              <w:fldChar w:fldCharType="end"/>
            </w:r>
          </w:hyperlink>
        </w:p>
        <w:p w14:paraId="02E7E2DA" w14:textId="5878EF73" w:rsidR="00500FE4" w:rsidRDefault="00500FE4">
          <w:pPr>
            <w:pStyle w:val="TOC5"/>
            <w:tabs>
              <w:tab w:val="right" w:pos="9742"/>
            </w:tabs>
            <w:rPr>
              <w:rFonts w:asciiTheme="minorHAnsi" w:eastAsiaTheme="minorEastAsia" w:hAnsiTheme="minorHAnsi" w:cstheme="minorBidi"/>
              <w:noProof/>
              <w:lang w:val="en-MY" w:eastAsia="zh-CN"/>
            </w:rPr>
          </w:pPr>
          <w:hyperlink w:anchor="_Toc62221490" w:history="1">
            <w:r w:rsidRPr="00031C90">
              <w:rPr>
                <w:rStyle w:val="Hyperlink"/>
                <w:noProof/>
              </w:rPr>
              <w:t>Investment required: IDR 1,733 trillion (US$ 122 billion)</w:t>
            </w:r>
            <w:r>
              <w:rPr>
                <w:noProof/>
                <w:webHidden/>
              </w:rPr>
              <w:tab/>
            </w:r>
            <w:r>
              <w:rPr>
                <w:noProof/>
                <w:webHidden/>
              </w:rPr>
              <w:fldChar w:fldCharType="begin"/>
            </w:r>
            <w:r>
              <w:rPr>
                <w:noProof/>
                <w:webHidden/>
              </w:rPr>
              <w:instrText xml:space="preserve"> PAGEREF _Toc62221490 \h </w:instrText>
            </w:r>
            <w:r>
              <w:rPr>
                <w:noProof/>
                <w:webHidden/>
              </w:rPr>
            </w:r>
            <w:r>
              <w:rPr>
                <w:noProof/>
                <w:webHidden/>
              </w:rPr>
              <w:fldChar w:fldCharType="separate"/>
            </w:r>
            <w:r>
              <w:rPr>
                <w:noProof/>
                <w:webHidden/>
              </w:rPr>
              <w:t>70</w:t>
            </w:r>
            <w:r>
              <w:rPr>
                <w:noProof/>
                <w:webHidden/>
              </w:rPr>
              <w:fldChar w:fldCharType="end"/>
            </w:r>
          </w:hyperlink>
        </w:p>
        <w:p w14:paraId="14F6717B" w14:textId="44255D8D" w:rsidR="00500FE4" w:rsidRDefault="00500FE4">
          <w:pPr>
            <w:pStyle w:val="TOC5"/>
            <w:tabs>
              <w:tab w:val="right" w:pos="9742"/>
            </w:tabs>
            <w:rPr>
              <w:rFonts w:asciiTheme="minorHAnsi" w:eastAsiaTheme="minorEastAsia" w:hAnsiTheme="minorHAnsi" w:cstheme="minorBidi"/>
              <w:noProof/>
              <w:lang w:val="en-MY" w:eastAsia="zh-CN"/>
            </w:rPr>
          </w:pPr>
          <w:hyperlink w:anchor="_Toc62221491"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_Toc62221491 \h </w:instrText>
            </w:r>
            <w:r>
              <w:rPr>
                <w:noProof/>
                <w:webHidden/>
              </w:rPr>
            </w:r>
            <w:r>
              <w:rPr>
                <w:noProof/>
                <w:webHidden/>
              </w:rPr>
              <w:fldChar w:fldCharType="separate"/>
            </w:r>
            <w:r>
              <w:rPr>
                <w:noProof/>
                <w:webHidden/>
              </w:rPr>
              <w:t>70</w:t>
            </w:r>
            <w:r>
              <w:rPr>
                <w:noProof/>
                <w:webHidden/>
              </w:rPr>
              <w:fldChar w:fldCharType="end"/>
            </w:r>
          </w:hyperlink>
        </w:p>
        <w:p w14:paraId="4D6C3C93" w14:textId="5404095D" w:rsidR="00500FE4" w:rsidRDefault="00500FE4">
          <w:pPr>
            <w:pStyle w:val="TOC5"/>
            <w:tabs>
              <w:tab w:val="right" w:pos="9742"/>
            </w:tabs>
            <w:rPr>
              <w:rFonts w:asciiTheme="minorHAnsi" w:eastAsiaTheme="minorEastAsia" w:hAnsiTheme="minorHAnsi" w:cstheme="minorBidi"/>
              <w:noProof/>
              <w:lang w:val="en-MY" w:eastAsia="zh-CN"/>
            </w:rPr>
          </w:pPr>
          <w:hyperlink w:anchor="_Toc62221492" w:history="1">
            <w:r w:rsidRPr="00031C90">
              <w:rPr>
                <w:rStyle w:val="Hyperlink"/>
                <w:noProof/>
              </w:rPr>
              <w:t>Coal lock-in</w:t>
            </w:r>
            <w:r>
              <w:rPr>
                <w:noProof/>
                <w:webHidden/>
              </w:rPr>
              <w:tab/>
            </w:r>
            <w:r>
              <w:rPr>
                <w:noProof/>
                <w:webHidden/>
              </w:rPr>
              <w:fldChar w:fldCharType="begin"/>
            </w:r>
            <w:r>
              <w:rPr>
                <w:noProof/>
                <w:webHidden/>
              </w:rPr>
              <w:instrText xml:space="preserve"> PAGEREF _Toc62221492 \h </w:instrText>
            </w:r>
            <w:r>
              <w:rPr>
                <w:noProof/>
                <w:webHidden/>
              </w:rPr>
            </w:r>
            <w:r>
              <w:rPr>
                <w:noProof/>
                <w:webHidden/>
              </w:rPr>
              <w:fldChar w:fldCharType="separate"/>
            </w:r>
            <w:r>
              <w:rPr>
                <w:noProof/>
                <w:webHidden/>
              </w:rPr>
              <w:t>70</w:t>
            </w:r>
            <w:r>
              <w:rPr>
                <w:noProof/>
                <w:webHidden/>
              </w:rPr>
              <w:fldChar w:fldCharType="end"/>
            </w:r>
          </w:hyperlink>
        </w:p>
        <w:p w14:paraId="4C5CA96B" w14:textId="773EB043" w:rsidR="00500FE4" w:rsidRDefault="00500FE4">
          <w:pPr>
            <w:pStyle w:val="TOC5"/>
            <w:tabs>
              <w:tab w:val="right" w:pos="9742"/>
            </w:tabs>
            <w:rPr>
              <w:rFonts w:asciiTheme="minorHAnsi" w:eastAsiaTheme="minorEastAsia" w:hAnsiTheme="minorHAnsi" w:cstheme="minorBidi"/>
              <w:noProof/>
              <w:lang w:val="en-MY" w:eastAsia="zh-CN"/>
            </w:rPr>
          </w:pPr>
          <w:hyperlink w:anchor="_Toc62221493" w:history="1">
            <w:r w:rsidRPr="00031C90">
              <w:rPr>
                <w:rStyle w:val="Hyperlink"/>
                <w:noProof/>
              </w:rPr>
              <w:t>Fossil fuel subsidy</w:t>
            </w:r>
            <w:r>
              <w:rPr>
                <w:noProof/>
                <w:webHidden/>
              </w:rPr>
              <w:tab/>
            </w:r>
            <w:r>
              <w:rPr>
                <w:noProof/>
                <w:webHidden/>
              </w:rPr>
              <w:fldChar w:fldCharType="begin"/>
            </w:r>
            <w:r>
              <w:rPr>
                <w:noProof/>
                <w:webHidden/>
              </w:rPr>
              <w:instrText xml:space="preserve"> PAGEREF _Toc62221493 \h </w:instrText>
            </w:r>
            <w:r>
              <w:rPr>
                <w:noProof/>
                <w:webHidden/>
              </w:rPr>
            </w:r>
            <w:r>
              <w:rPr>
                <w:noProof/>
                <w:webHidden/>
              </w:rPr>
              <w:fldChar w:fldCharType="separate"/>
            </w:r>
            <w:r>
              <w:rPr>
                <w:noProof/>
                <w:webHidden/>
              </w:rPr>
              <w:t>70</w:t>
            </w:r>
            <w:r>
              <w:rPr>
                <w:noProof/>
                <w:webHidden/>
              </w:rPr>
              <w:fldChar w:fldCharType="end"/>
            </w:r>
          </w:hyperlink>
        </w:p>
        <w:p w14:paraId="19DC5BCB" w14:textId="23B1ACE1" w:rsidR="00500FE4" w:rsidRDefault="00500FE4">
          <w:pPr>
            <w:pStyle w:val="TOC5"/>
            <w:tabs>
              <w:tab w:val="right" w:pos="9742"/>
            </w:tabs>
            <w:rPr>
              <w:rFonts w:asciiTheme="minorHAnsi" w:eastAsiaTheme="minorEastAsia" w:hAnsiTheme="minorHAnsi" w:cstheme="minorBidi"/>
              <w:noProof/>
              <w:lang w:val="en-MY" w:eastAsia="zh-CN"/>
            </w:rPr>
          </w:pPr>
          <w:hyperlink w:anchor="_Toc62221494" w:history="1">
            <w:r w:rsidRPr="00031C90">
              <w:rPr>
                <w:rStyle w:val="Hyperlink"/>
                <w:noProof/>
              </w:rPr>
              <w:t>Energy balance</w:t>
            </w:r>
            <w:r>
              <w:rPr>
                <w:noProof/>
                <w:webHidden/>
              </w:rPr>
              <w:tab/>
            </w:r>
            <w:r>
              <w:rPr>
                <w:noProof/>
                <w:webHidden/>
              </w:rPr>
              <w:fldChar w:fldCharType="begin"/>
            </w:r>
            <w:r>
              <w:rPr>
                <w:noProof/>
                <w:webHidden/>
              </w:rPr>
              <w:instrText xml:space="preserve"> PAGEREF _Toc62221494 \h </w:instrText>
            </w:r>
            <w:r>
              <w:rPr>
                <w:noProof/>
                <w:webHidden/>
              </w:rPr>
            </w:r>
            <w:r>
              <w:rPr>
                <w:noProof/>
                <w:webHidden/>
              </w:rPr>
              <w:fldChar w:fldCharType="separate"/>
            </w:r>
            <w:r>
              <w:rPr>
                <w:noProof/>
                <w:webHidden/>
              </w:rPr>
              <w:t>70</w:t>
            </w:r>
            <w:r>
              <w:rPr>
                <w:noProof/>
                <w:webHidden/>
              </w:rPr>
              <w:fldChar w:fldCharType="end"/>
            </w:r>
          </w:hyperlink>
        </w:p>
        <w:p w14:paraId="35BA4021" w14:textId="111FC013" w:rsidR="00500FE4" w:rsidRDefault="00500FE4">
          <w:pPr>
            <w:pStyle w:val="TOC3"/>
            <w:tabs>
              <w:tab w:val="right" w:pos="9742"/>
            </w:tabs>
            <w:rPr>
              <w:rFonts w:asciiTheme="minorHAnsi" w:eastAsiaTheme="minorEastAsia" w:hAnsiTheme="minorHAnsi" w:cstheme="minorBidi"/>
              <w:noProof/>
              <w:lang w:val="en-MY" w:eastAsia="zh-CN"/>
            </w:rPr>
          </w:pPr>
          <w:hyperlink w:anchor="_Toc62221495" w:history="1">
            <w:r w:rsidRPr="00031C90">
              <w:rPr>
                <w:rStyle w:val="Hyperlink"/>
                <w:noProof/>
              </w:rPr>
              <w:t>SDG scenario</w:t>
            </w:r>
            <w:r>
              <w:rPr>
                <w:noProof/>
                <w:webHidden/>
              </w:rPr>
              <w:tab/>
            </w:r>
            <w:r>
              <w:rPr>
                <w:noProof/>
                <w:webHidden/>
              </w:rPr>
              <w:fldChar w:fldCharType="begin"/>
            </w:r>
            <w:r>
              <w:rPr>
                <w:noProof/>
                <w:webHidden/>
              </w:rPr>
              <w:instrText xml:space="preserve"> PAGEREF _Toc62221495 \h </w:instrText>
            </w:r>
            <w:r>
              <w:rPr>
                <w:noProof/>
                <w:webHidden/>
              </w:rPr>
            </w:r>
            <w:r>
              <w:rPr>
                <w:noProof/>
                <w:webHidden/>
              </w:rPr>
              <w:fldChar w:fldCharType="separate"/>
            </w:r>
            <w:r>
              <w:rPr>
                <w:noProof/>
                <w:webHidden/>
              </w:rPr>
              <w:t>70</w:t>
            </w:r>
            <w:r>
              <w:rPr>
                <w:noProof/>
                <w:webHidden/>
              </w:rPr>
              <w:fldChar w:fldCharType="end"/>
            </w:r>
          </w:hyperlink>
        </w:p>
        <w:p w14:paraId="453B1378" w14:textId="55230ADE" w:rsidR="00500FE4" w:rsidRDefault="00500FE4">
          <w:pPr>
            <w:pStyle w:val="TOC4"/>
            <w:tabs>
              <w:tab w:val="right" w:pos="9742"/>
            </w:tabs>
            <w:rPr>
              <w:rFonts w:asciiTheme="minorHAnsi" w:eastAsiaTheme="minorEastAsia" w:hAnsiTheme="minorHAnsi" w:cstheme="minorBidi"/>
              <w:noProof/>
              <w:lang w:val="en-MY" w:eastAsia="zh-CN"/>
            </w:rPr>
          </w:pPr>
          <w:hyperlink w:anchor="_Toc62221496"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_Toc62221496 \h </w:instrText>
            </w:r>
            <w:r>
              <w:rPr>
                <w:noProof/>
                <w:webHidden/>
              </w:rPr>
            </w:r>
            <w:r>
              <w:rPr>
                <w:noProof/>
                <w:webHidden/>
              </w:rPr>
              <w:fldChar w:fldCharType="separate"/>
            </w:r>
            <w:r>
              <w:rPr>
                <w:noProof/>
                <w:webHidden/>
              </w:rPr>
              <w:t>70</w:t>
            </w:r>
            <w:r>
              <w:rPr>
                <w:noProof/>
                <w:webHidden/>
              </w:rPr>
              <w:fldChar w:fldCharType="end"/>
            </w:r>
          </w:hyperlink>
        </w:p>
        <w:p w14:paraId="0666C880" w14:textId="122E3AE1" w:rsidR="00500FE4" w:rsidRDefault="00500FE4">
          <w:pPr>
            <w:pStyle w:val="TOC5"/>
            <w:tabs>
              <w:tab w:val="right" w:pos="9742"/>
            </w:tabs>
            <w:rPr>
              <w:rFonts w:asciiTheme="minorHAnsi" w:eastAsiaTheme="minorEastAsia" w:hAnsiTheme="minorHAnsi" w:cstheme="minorBidi"/>
              <w:noProof/>
              <w:lang w:val="en-MY" w:eastAsia="zh-CN"/>
            </w:rPr>
          </w:pPr>
          <w:hyperlink w:anchor="_Toc62221497"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_Toc62221497 \h </w:instrText>
            </w:r>
            <w:r>
              <w:rPr>
                <w:noProof/>
                <w:webHidden/>
              </w:rPr>
            </w:r>
            <w:r>
              <w:rPr>
                <w:noProof/>
                <w:webHidden/>
              </w:rPr>
              <w:fldChar w:fldCharType="separate"/>
            </w:r>
            <w:r>
              <w:rPr>
                <w:noProof/>
                <w:webHidden/>
              </w:rPr>
              <w:t>71</w:t>
            </w:r>
            <w:r>
              <w:rPr>
                <w:noProof/>
                <w:webHidden/>
              </w:rPr>
              <w:fldChar w:fldCharType="end"/>
            </w:r>
          </w:hyperlink>
        </w:p>
        <w:p w14:paraId="30268B2D" w14:textId="299ABE0A" w:rsidR="00500FE4" w:rsidRDefault="00500FE4">
          <w:pPr>
            <w:pStyle w:val="TOC5"/>
            <w:tabs>
              <w:tab w:val="right" w:pos="9742"/>
            </w:tabs>
            <w:rPr>
              <w:rFonts w:asciiTheme="minorHAnsi" w:eastAsiaTheme="minorEastAsia" w:hAnsiTheme="minorHAnsi" w:cstheme="minorBidi"/>
              <w:noProof/>
              <w:lang w:val="en-MY" w:eastAsia="zh-CN"/>
            </w:rPr>
          </w:pPr>
          <w:hyperlink w:anchor="_Toc62221498"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_Toc62221498 \h </w:instrText>
            </w:r>
            <w:r>
              <w:rPr>
                <w:noProof/>
                <w:webHidden/>
              </w:rPr>
            </w:r>
            <w:r>
              <w:rPr>
                <w:noProof/>
                <w:webHidden/>
              </w:rPr>
              <w:fldChar w:fldCharType="separate"/>
            </w:r>
            <w:r>
              <w:rPr>
                <w:noProof/>
                <w:webHidden/>
              </w:rPr>
              <w:t>71</w:t>
            </w:r>
            <w:r>
              <w:rPr>
                <w:noProof/>
                <w:webHidden/>
              </w:rPr>
              <w:fldChar w:fldCharType="end"/>
            </w:r>
          </w:hyperlink>
        </w:p>
        <w:p w14:paraId="51B60B6C" w14:textId="64AFE345" w:rsidR="00500FE4" w:rsidRDefault="00500FE4">
          <w:pPr>
            <w:pStyle w:val="TOC5"/>
            <w:tabs>
              <w:tab w:val="right" w:pos="9742"/>
            </w:tabs>
            <w:rPr>
              <w:rFonts w:asciiTheme="minorHAnsi" w:eastAsiaTheme="minorEastAsia" w:hAnsiTheme="minorHAnsi" w:cstheme="minorBidi"/>
              <w:noProof/>
              <w:lang w:val="en-MY" w:eastAsia="zh-CN"/>
            </w:rPr>
          </w:pPr>
          <w:hyperlink w:anchor="_Toc62221499"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_Toc62221499 \h </w:instrText>
            </w:r>
            <w:r>
              <w:rPr>
                <w:noProof/>
                <w:webHidden/>
              </w:rPr>
            </w:r>
            <w:r>
              <w:rPr>
                <w:noProof/>
                <w:webHidden/>
              </w:rPr>
              <w:fldChar w:fldCharType="separate"/>
            </w:r>
            <w:r>
              <w:rPr>
                <w:noProof/>
                <w:webHidden/>
              </w:rPr>
              <w:t>71</w:t>
            </w:r>
            <w:r>
              <w:rPr>
                <w:noProof/>
                <w:webHidden/>
              </w:rPr>
              <w:fldChar w:fldCharType="end"/>
            </w:r>
          </w:hyperlink>
        </w:p>
        <w:p w14:paraId="4FE1126A" w14:textId="2BC04630" w:rsidR="00500FE4" w:rsidRDefault="00500FE4">
          <w:pPr>
            <w:pStyle w:val="TOC5"/>
            <w:tabs>
              <w:tab w:val="right" w:pos="9742"/>
            </w:tabs>
            <w:rPr>
              <w:rFonts w:asciiTheme="minorHAnsi" w:eastAsiaTheme="minorEastAsia" w:hAnsiTheme="minorHAnsi" w:cstheme="minorBidi"/>
              <w:noProof/>
              <w:lang w:val="en-MY" w:eastAsia="zh-CN"/>
            </w:rPr>
          </w:pPr>
          <w:hyperlink w:anchor="_Toc62221500"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_Toc62221500 \h </w:instrText>
            </w:r>
            <w:r>
              <w:rPr>
                <w:noProof/>
                <w:webHidden/>
              </w:rPr>
            </w:r>
            <w:r>
              <w:rPr>
                <w:noProof/>
                <w:webHidden/>
              </w:rPr>
              <w:fldChar w:fldCharType="separate"/>
            </w:r>
            <w:r>
              <w:rPr>
                <w:noProof/>
                <w:webHidden/>
              </w:rPr>
              <w:t>71</w:t>
            </w:r>
            <w:r>
              <w:rPr>
                <w:noProof/>
                <w:webHidden/>
              </w:rPr>
              <w:fldChar w:fldCharType="end"/>
            </w:r>
          </w:hyperlink>
        </w:p>
        <w:p w14:paraId="088C40BB" w14:textId="34B09128" w:rsidR="00500FE4" w:rsidRDefault="00500FE4">
          <w:pPr>
            <w:pStyle w:val="TOC5"/>
            <w:tabs>
              <w:tab w:val="right" w:pos="9742"/>
            </w:tabs>
            <w:rPr>
              <w:rFonts w:asciiTheme="minorHAnsi" w:eastAsiaTheme="minorEastAsia" w:hAnsiTheme="minorHAnsi" w:cstheme="minorBidi"/>
              <w:noProof/>
              <w:lang w:val="en-MY" w:eastAsia="zh-CN"/>
            </w:rPr>
          </w:pPr>
          <w:hyperlink w:anchor="_Toc62221501" w:history="1">
            <w:r w:rsidRPr="00031C90">
              <w:rPr>
                <w:rStyle w:val="Hyperlink"/>
                <w:noProof/>
              </w:rPr>
              <w:t>NDC unconditional target</w:t>
            </w:r>
            <w:r>
              <w:rPr>
                <w:noProof/>
                <w:webHidden/>
              </w:rPr>
              <w:tab/>
            </w:r>
            <w:r>
              <w:rPr>
                <w:noProof/>
                <w:webHidden/>
              </w:rPr>
              <w:fldChar w:fldCharType="begin"/>
            </w:r>
            <w:r>
              <w:rPr>
                <w:noProof/>
                <w:webHidden/>
              </w:rPr>
              <w:instrText xml:space="preserve"> PAGEREF _Toc62221501 \h </w:instrText>
            </w:r>
            <w:r>
              <w:rPr>
                <w:noProof/>
                <w:webHidden/>
              </w:rPr>
            </w:r>
            <w:r>
              <w:rPr>
                <w:noProof/>
                <w:webHidden/>
              </w:rPr>
              <w:fldChar w:fldCharType="separate"/>
            </w:r>
            <w:r>
              <w:rPr>
                <w:noProof/>
                <w:webHidden/>
              </w:rPr>
              <w:t>72</w:t>
            </w:r>
            <w:r>
              <w:rPr>
                <w:noProof/>
                <w:webHidden/>
              </w:rPr>
              <w:fldChar w:fldCharType="end"/>
            </w:r>
          </w:hyperlink>
        </w:p>
        <w:p w14:paraId="079BFFB5" w14:textId="06D5FB7F" w:rsidR="00500FE4" w:rsidRDefault="00500FE4">
          <w:pPr>
            <w:pStyle w:val="TOC5"/>
            <w:tabs>
              <w:tab w:val="right" w:pos="9742"/>
            </w:tabs>
            <w:rPr>
              <w:rFonts w:asciiTheme="minorHAnsi" w:eastAsiaTheme="minorEastAsia" w:hAnsiTheme="minorHAnsi" w:cstheme="minorBidi"/>
              <w:noProof/>
              <w:lang w:val="en-MY" w:eastAsia="zh-CN"/>
            </w:rPr>
          </w:pPr>
          <w:hyperlink w:anchor="_Toc62221502" w:history="1">
            <w:r w:rsidRPr="00031C90">
              <w:rPr>
                <w:rStyle w:val="Hyperlink"/>
                <w:noProof/>
              </w:rPr>
              <w:t>Investment required: IDR 2,499 trillion (US$ 176 billion)</w:t>
            </w:r>
            <w:r>
              <w:rPr>
                <w:noProof/>
                <w:webHidden/>
              </w:rPr>
              <w:tab/>
            </w:r>
            <w:r>
              <w:rPr>
                <w:noProof/>
                <w:webHidden/>
              </w:rPr>
              <w:fldChar w:fldCharType="begin"/>
            </w:r>
            <w:r>
              <w:rPr>
                <w:noProof/>
                <w:webHidden/>
              </w:rPr>
              <w:instrText xml:space="preserve"> PAGEREF _Toc62221502 \h </w:instrText>
            </w:r>
            <w:r>
              <w:rPr>
                <w:noProof/>
                <w:webHidden/>
              </w:rPr>
            </w:r>
            <w:r>
              <w:rPr>
                <w:noProof/>
                <w:webHidden/>
              </w:rPr>
              <w:fldChar w:fldCharType="separate"/>
            </w:r>
            <w:r>
              <w:rPr>
                <w:noProof/>
                <w:webHidden/>
              </w:rPr>
              <w:t>72</w:t>
            </w:r>
            <w:r>
              <w:rPr>
                <w:noProof/>
                <w:webHidden/>
              </w:rPr>
              <w:fldChar w:fldCharType="end"/>
            </w:r>
          </w:hyperlink>
        </w:p>
        <w:p w14:paraId="06AD77F5" w14:textId="533FF866" w:rsidR="00500FE4" w:rsidRDefault="00500FE4">
          <w:pPr>
            <w:pStyle w:val="TOC5"/>
            <w:tabs>
              <w:tab w:val="right" w:pos="9742"/>
            </w:tabs>
            <w:rPr>
              <w:rFonts w:asciiTheme="minorHAnsi" w:eastAsiaTheme="minorEastAsia" w:hAnsiTheme="minorHAnsi" w:cstheme="minorBidi"/>
              <w:noProof/>
              <w:lang w:val="en-MY" w:eastAsia="zh-CN"/>
            </w:rPr>
          </w:pPr>
          <w:hyperlink w:anchor="_Toc62221503"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_Toc62221503 \h </w:instrText>
            </w:r>
            <w:r>
              <w:rPr>
                <w:noProof/>
                <w:webHidden/>
              </w:rPr>
            </w:r>
            <w:r>
              <w:rPr>
                <w:noProof/>
                <w:webHidden/>
              </w:rPr>
              <w:fldChar w:fldCharType="separate"/>
            </w:r>
            <w:r>
              <w:rPr>
                <w:noProof/>
                <w:webHidden/>
              </w:rPr>
              <w:t>72</w:t>
            </w:r>
            <w:r>
              <w:rPr>
                <w:noProof/>
                <w:webHidden/>
              </w:rPr>
              <w:fldChar w:fldCharType="end"/>
            </w:r>
          </w:hyperlink>
        </w:p>
        <w:p w14:paraId="47DFA421" w14:textId="13A54657" w:rsidR="00500FE4" w:rsidRDefault="00500FE4">
          <w:pPr>
            <w:pStyle w:val="TOC5"/>
            <w:tabs>
              <w:tab w:val="right" w:pos="9742"/>
            </w:tabs>
            <w:rPr>
              <w:rFonts w:asciiTheme="minorHAnsi" w:eastAsiaTheme="minorEastAsia" w:hAnsiTheme="minorHAnsi" w:cstheme="minorBidi"/>
              <w:noProof/>
              <w:lang w:val="en-MY" w:eastAsia="zh-CN"/>
            </w:rPr>
          </w:pPr>
          <w:hyperlink w:anchor="_Toc62221504" w:history="1">
            <w:r w:rsidRPr="00031C90">
              <w:rPr>
                <w:rStyle w:val="Hyperlink"/>
                <w:noProof/>
              </w:rPr>
              <w:t>Fossil fuel subsidy</w:t>
            </w:r>
            <w:r>
              <w:rPr>
                <w:noProof/>
                <w:webHidden/>
              </w:rPr>
              <w:tab/>
            </w:r>
            <w:r>
              <w:rPr>
                <w:noProof/>
                <w:webHidden/>
              </w:rPr>
              <w:fldChar w:fldCharType="begin"/>
            </w:r>
            <w:r>
              <w:rPr>
                <w:noProof/>
                <w:webHidden/>
              </w:rPr>
              <w:instrText xml:space="preserve"> PAGEREF _Toc62221504 \h </w:instrText>
            </w:r>
            <w:r>
              <w:rPr>
                <w:noProof/>
                <w:webHidden/>
              </w:rPr>
            </w:r>
            <w:r>
              <w:rPr>
                <w:noProof/>
                <w:webHidden/>
              </w:rPr>
              <w:fldChar w:fldCharType="separate"/>
            </w:r>
            <w:r>
              <w:rPr>
                <w:noProof/>
                <w:webHidden/>
              </w:rPr>
              <w:t>72</w:t>
            </w:r>
            <w:r>
              <w:rPr>
                <w:noProof/>
                <w:webHidden/>
              </w:rPr>
              <w:fldChar w:fldCharType="end"/>
            </w:r>
          </w:hyperlink>
        </w:p>
        <w:p w14:paraId="69A873AE" w14:textId="54A8FADB" w:rsidR="00500FE4" w:rsidRDefault="00500FE4">
          <w:pPr>
            <w:pStyle w:val="TOC5"/>
            <w:tabs>
              <w:tab w:val="right" w:pos="9742"/>
            </w:tabs>
            <w:rPr>
              <w:rFonts w:asciiTheme="minorHAnsi" w:eastAsiaTheme="minorEastAsia" w:hAnsiTheme="minorHAnsi" w:cstheme="minorBidi"/>
              <w:noProof/>
              <w:lang w:val="en-MY" w:eastAsia="zh-CN"/>
            </w:rPr>
          </w:pPr>
          <w:hyperlink w:anchor="_Toc62221505" w:history="1">
            <w:r w:rsidRPr="00031C90">
              <w:rPr>
                <w:rStyle w:val="Hyperlink"/>
                <w:noProof/>
              </w:rPr>
              <w:t>Coal lock-in</w:t>
            </w:r>
            <w:r>
              <w:rPr>
                <w:noProof/>
                <w:webHidden/>
              </w:rPr>
              <w:tab/>
            </w:r>
            <w:r>
              <w:rPr>
                <w:noProof/>
                <w:webHidden/>
              </w:rPr>
              <w:fldChar w:fldCharType="begin"/>
            </w:r>
            <w:r>
              <w:rPr>
                <w:noProof/>
                <w:webHidden/>
              </w:rPr>
              <w:instrText xml:space="preserve"> PAGEREF _Toc62221505 \h </w:instrText>
            </w:r>
            <w:r>
              <w:rPr>
                <w:noProof/>
                <w:webHidden/>
              </w:rPr>
            </w:r>
            <w:r>
              <w:rPr>
                <w:noProof/>
                <w:webHidden/>
              </w:rPr>
              <w:fldChar w:fldCharType="separate"/>
            </w:r>
            <w:r>
              <w:rPr>
                <w:noProof/>
                <w:webHidden/>
              </w:rPr>
              <w:t>72</w:t>
            </w:r>
            <w:r>
              <w:rPr>
                <w:noProof/>
                <w:webHidden/>
              </w:rPr>
              <w:fldChar w:fldCharType="end"/>
            </w:r>
          </w:hyperlink>
        </w:p>
        <w:p w14:paraId="7E6AD76A" w14:textId="26990153" w:rsidR="00500FE4" w:rsidRDefault="00500FE4">
          <w:pPr>
            <w:pStyle w:val="TOC5"/>
            <w:tabs>
              <w:tab w:val="right" w:pos="9742"/>
            </w:tabs>
            <w:rPr>
              <w:rFonts w:asciiTheme="minorHAnsi" w:eastAsiaTheme="minorEastAsia" w:hAnsiTheme="minorHAnsi" w:cstheme="minorBidi"/>
              <w:noProof/>
              <w:lang w:val="en-MY" w:eastAsia="zh-CN"/>
            </w:rPr>
          </w:pPr>
          <w:hyperlink w:anchor="_Toc62221506" w:history="1">
            <w:r w:rsidRPr="00031C90">
              <w:rPr>
                <w:rStyle w:val="Hyperlink"/>
                <w:noProof/>
              </w:rPr>
              <w:t>Energy balance</w:t>
            </w:r>
            <w:r>
              <w:rPr>
                <w:noProof/>
                <w:webHidden/>
              </w:rPr>
              <w:tab/>
            </w:r>
            <w:r>
              <w:rPr>
                <w:noProof/>
                <w:webHidden/>
              </w:rPr>
              <w:fldChar w:fldCharType="begin"/>
            </w:r>
            <w:r>
              <w:rPr>
                <w:noProof/>
                <w:webHidden/>
              </w:rPr>
              <w:instrText xml:space="preserve"> PAGEREF _Toc62221506 \h </w:instrText>
            </w:r>
            <w:r>
              <w:rPr>
                <w:noProof/>
                <w:webHidden/>
              </w:rPr>
            </w:r>
            <w:r>
              <w:rPr>
                <w:noProof/>
                <w:webHidden/>
              </w:rPr>
              <w:fldChar w:fldCharType="separate"/>
            </w:r>
            <w:r>
              <w:rPr>
                <w:noProof/>
                <w:webHidden/>
              </w:rPr>
              <w:t>72</w:t>
            </w:r>
            <w:r>
              <w:rPr>
                <w:noProof/>
                <w:webHidden/>
              </w:rPr>
              <w:fldChar w:fldCharType="end"/>
            </w:r>
          </w:hyperlink>
        </w:p>
        <w:p w14:paraId="63D6EB5A" w14:textId="151A2B13" w:rsidR="00500FE4" w:rsidRDefault="00500FE4">
          <w:pPr>
            <w:pStyle w:val="TOC3"/>
            <w:tabs>
              <w:tab w:val="right" w:pos="9742"/>
            </w:tabs>
            <w:rPr>
              <w:rFonts w:asciiTheme="minorHAnsi" w:eastAsiaTheme="minorEastAsia" w:hAnsiTheme="minorHAnsi" w:cstheme="minorBidi"/>
              <w:noProof/>
              <w:lang w:val="en-MY" w:eastAsia="zh-CN"/>
            </w:rPr>
          </w:pPr>
          <w:hyperlink w:anchor="_Toc62221507" w:history="1">
            <w:r w:rsidRPr="00031C90">
              <w:rPr>
                <w:rStyle w:val="Hyperlink"/>
                <w:noProof/>
              </w:rPr>
              <w:t>Ambitious scenario</w:t>
            </w:r>
            <w:r>
              <w:rPr>
                <w:noProof/>
                <w:webHidden/>
              </w:rPr>
              <w:tab/>
            </w:r>
            <w:r>
              <w:rPr>
                <w:noProof/>
                <w:webHidden/>
              </w:rPr>
              <w:fldChar w:fldCharType="begin"/>
            </w:r>
            <w:r>
              <w:rPr>
                <w:noProof/>
                <w:webHidden/>
              </w:rPr>
              <w:instrText xml:space="preserve"> PAGEREF _Toc62221507 \h </w:instrText>
            </w:r>
            <w:r>
              <w:rPr>
                <w:noProof/>
                <w:webHidden/>
              </w:rPr>
            </w:r>
            <w:r>
              <w:rPr>
                <w:noProof/>
                <w:webHidden/>
              </w:rPr>
              <w:fldChar w:fldCharType="separate"/>
            </w:r>
            <w:r>
              <w:rPr>
                <w:noProof/>
                <w:webHidden/>
              </w:rPr>
              <w:t>72</w:t>
            </w:r>
            <w:r>
              <w:rPr>
                <w:noProof/>
                <w:webHidden/>
              </w:rPr>
              <w:fldChar w:fldCharType="end"/>
            </w:r>
          </w:hyperlink>
        </w:p>
        <w:p w14:paraId="470FC0A0" w14:textId="0C6596C5" w:rsidR="00500FE4" w:rsidRDefault="00500FE4">
          <w:pPr>
            <w:pStyle w:val="TOC4"/>
            <w:tabs>
              <w:tab w:val="right" w:pos="9742"/>
            </w:tabs>
            <w:rPr>
              <w:rFonts w:asciiTheme="minorHAnsi" w:eastAsiaTheme="minorEastAsia" w:hAnsiTheme="minorHAnsi" w:cstheme="minorBidi"/>
              <w:noProof/>
              <w:lang w:val="en-MY" w:eastAsia="zh-CN"/>
            </w:rPr>
          </w:pPr>
          <w:hyperlink w:anchor="_Toc62221508" w:history="1">
            <w:r w:rsidRPr="00031C90">
              <w:rPr>
                <w:rStyle w:val="Hyperlink"/>
                <w:noProof/>
              </w:rPr>
              <w:t>Conditional NDC with high energy efficiency</w:t>
            </w:r>
            <w:r>
              <w:rPr>
                <w:noProof/>
                <w:webHidden/>
              </w:rPr>
              <w:tab/>
            </w:r>
            <w:r>
              <w:rPr>
                <w:noProof/>
                <w:webHidden/>
              </w:rPr>
              <w:fldChar w:fldCharType="begin"/>
            </w:r>
            <w:r>
              <w:rPr>
                <w:noProof/>
                <w:webHidden/>
              </w:rPr>
              <w:instrText xml:space="preserve"> PAGEREF _Toc62221508 \h </w:instrText>
            </w:r>
            <w:r>
              <w:rPr>
                <w:noProof/>
                <w:webHidden/>
              </w:rPr>
            </w:r>
            <w:r>
              <w:rPr>
                <w:noProof/>
                <w:webHidden/>
              </w:rPr>
              <w:fldChar w:fldCharType="separate"/>
            </w:r>
            <w:r>
              <w:rPr>
                <w:noProof/>
                <w:webHidden/>
              </w:rPr>
              <w:t>73</w:t>
            </w:r>
            <w:r>
              <w:rPr>
                <w:noProof/>
                <w:webHidden/>
              </w:rPr>
              <w:fldChar w:fldCharType="end"/>
            </w:r>
          </w:hyperlink>
        </w:p>
        <w:p w14:paraId="425D874D" w14:textId="0E34439E" w:rsidR="00500FE4" w:rsidRDefault="00500FE4">
          <w:pPr>
            <w:pStyle w:val="TOC5"/>
            <w:tabs>
              <w:tab w:val="right" w:pos="9742"/>
            </w:tabs>
            <w:rPr>
              <w:rFonts w:asciiTheme="minorHAnsi" w:eastAsiaTheme="minorEastAsia" w:hAnsiTheme="minorHAnsi" w:cstheme="minorBidi"/>
              <w:noProof/>
              <w:lang w:val="en-MY" w:eastAsia="zh-CN"/>
            </w:rPr>
          </w:pPr>
          <w:hyperlink w:anchor="_Toc62221509"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_Toc62221509 \h </w:instrText>
            </w:r>
            <w:r>
              <w:rPr>
                <w:noProof/>
                <w:webHidden/>
              </w:rPr>
            </w:r>
            <w:r>
              <w:rPr>
                <w:noProof/>
                <w:webHidden/>
              </w:rPr>
              <w:fldChar w:fldCharType="separate"/>
            </w:r>
            <w:r>
              <w:rPr>
                <w:noProof/>
                <w:webHidden/>
              </w:rPr>
              <w:t>73</w:t>
            </w:r>
            <w:r>
              <w:rPr>
                <w:noProof/>
                <w:webHidden/>
              </w:rPr>
              <w:fldChar w:fldCharType="end"/>
            </w:r>
          </w:hyperlink>
        </w:p>
        <w:p w14:paraId="191C7243" w14:textId="4D7F2EDA" w:rsidR="00500FE4" w:rsidRDefault="00500FE4">
          <w:pPr>
            <w:pStyle w:val="TOC5"/>
            <w:tabs>
              <w:tab w:val="right" w:pos="9742"/>
            </w:tabs>
            <w:rPr>
              <w:rFonts w:asciiTheme="minorHAnsi" w:eastAsiaTheme="minorEastAsia" w:hAnsiTheme="minorHAnsi" w:cstheme="minorBidi"/>
              <w:noProof/>
              <w:lang w:val="en-MY" w:eastAsia="zh-CN"/>
            </w:rPr>
          </w:pPr>
          <w:hyperlink w:anchor="_Toc62221510"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_Toc62221510 \h </w:instrText>
            </w:r>
            <w:r>
              <w:rPr>
                <w:noProof/>
                <w:webHidden/>
              </w:rPr>
            </w:r>
            <w:r>
              <w:rPr>
                <w:noProof/>
                <w:webHidden/>
              </w:rPr>
              <w:fldChar w:fldCharType="separate"/>
            </w:r>
            <w:r>
              <w:rPr>
                <w:noProof/>
                <w:webHidden/>
              </w:rPr>
              <w:t>73</w:t>
            </w:r>
            <w:r>
              <w:rPr>
                <w:noProof/>
                <w:webHidden/>
              </w:rPr>
              <w:fldChar w:fldCharType="end"/>
            </w:r>
          </w:hyperlink>
        </w:p>
        <w:p w14:paraId="73582D48" w14:textId="0E889934" w:rsidR="00500FE4" w:rsidRDefault="00500FE4">
          <w:pPr>
            <w:pStyle w:val="TOC5"/>
            <w:tabs>
              <w:tab w:val="right" w:pos="9742"/>
            </w:tabs>
            <w:rPr>
              <w:rFonts w:asciiTheme="minorHAnsi" w:eastAsiaTheme="minorEastAsia" w:hAnsiTheme="minorHAnsi" w:cstheme="minorBidi"/>
              <w:noProof/>
              <w:lang w:val="en-MY" w:eastAsia="zh-CN"/>
            </w:rPr>
          </w:pPr>
          <w:hyperlink w:anchor="_Toc62221511"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_Toc62221511 \h </w:instrText>
            </w:r>
            <w:r>
              <w:rPr>
                <w:noProof/>
                <w:webHidden/>
              </w:rPr>
            </w:r>
            <w:r>
              <w:rPr>
                <w:noProof/>
                <w:webHidden/>
              </w:rPr>
              <w:fldChar w:fldCharType="separate"/>
            </w:r>
            <w:r>
              <w:rPr>
                <w:noProof/>
                <w:webHidden/>
              </w:rPr>
              <w:t>73</w:t>
            </w:r>
            <w:r>
              <w:rPr>
                <w:noProof/>
                <w:webHidden/>
              </w:rPr>
              <w:fldChar w:fldCharType="end"/>
            </w:r>
          </w:hyperlink>
        </w:p>
        <w:p w14:paraId="18CE2529" w14:textId="667324CA" w:rsidR="00500FE4" w:rsidRDefault="00500FE4">
          <w:pPr>
            <w:pStyle w:val="TOC5"/>
            <w:tabs>
              <w:tab w:val="right" w:pos="9742"/>
            </w:tabs>
            <w:rPr>
              <w:rFonts w:asciiTheme="minorHAnsi" w:eastAsiaTheme="minorEastAsia" w:hAnsiTheme="minorHAnsi" w:cstheme="minorBidi"/>
              <w:noProof/>
              <w:lang w:val="en-MY" w:eastAsia="zh-CN"/>
            </w:rPr>
          </w:pPr>
          <w:hyperlink w:anchor="_Toc62221512"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_Toc62221512 \h </w:instrText>
            </w:r>
            <w:r>
              <w:rPr>
                <w:noProof/>
                <w:webHidden/>
              </w:rPr>
            </w:r>
            <w:r>
              <w:rPr>
                <w:noProof/>
                <w:webHidden/>
              </w:rPr>
              <w:fldChar w:fldCharType="separate"/>
            </w:r>
            <w:r>
              <w:rPr>
                <w:noProof/>
                <w:webHidden/>
              </w:rPr>
              <w:t>73</w:t>
            </w:r>
            <w:r>
              <w:rPr>
                <w:noProof/>
                <w:webHidden/>
              </w:rPr>
              <w:fldChar w:fldCharType="end"/>
            </w:r>
          </w:hyperlink>
        </w:p>
        <w:p w14:paraId="37744F11" w14:textId="390FF40D" w:rsidR="00500FE4" w:rsidRDefault="00500FE4">
          <w:pPr>
            <w:pStyle w:val="TOC5"/>
            <w:tabs>
              <w:tab w:val="right" w:pos="9742"/>
            </w:tabs>
            <w:rPr>
              <w:rFonts w:asciiTheme="minorHAnsi" w:eastAsiaTheme="minorEastAsia" w:hAnsiTheme="minorHAnsi" w:cstheme="minorBidi"/>
              <w:noProof/>
              <w:lang w:val="en-MY" w:eastAsia="zh-CN"/>
            </w:rPr>
          </w:pPr>
          <w:hyperlink w:anchor="_Toc62221513"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_Toc62221513 \h </w:instrText>
            </w:r>
            <w:r>
              <w:rPr>
                <w:noProof/>
                <w:webHidden/>
              </w:rPr>
            </w:r>
            <w:r>
              <w:rPr>
                <w:noProof/>
                <w:webHidden/>
              </w:rPr>
              <w:fldChar w:fldCharType="separate"/>
            </w:r>
            <w:r>
              <w:rPr>
                <w:noProof/>
                <w:webHidden/>
              </w:rPr>
              <w:t>73</w:t>
            </w:r>
            <w:r>
              <w:rPr>
                <w:noProof/>
                <w:webHidden/>
              </w:rPr>
              <w:fldChar w:fldCharType="end"/>
            </w:r>
          </w:hyperlink>
        </w:p>
        <w:p w14:paraId="040A095C" w14:textId="4AC66097" w:rsidR="00500FE4" w:rsidRDefault="00500FE4">
          <w:pPr>
            <w:pStyle w:val="TOC5"/>
            <w:tabs>
              <w:tab w:val="right" w:pos="9742"/>
            </w:tabs>
            <w:rPr>
              <w:rFonts w:asciiTheme="minorHAnsi" w:eastAsiaTheme="minorEastAsia" w:hAnsiTheme="minorHAnsi" w:cstheme="minorBidi"/>
              <w:noProof/>
              <w:lang w:val="en-MY" w:eastAsia="zh-CN"/>
            </w:rPr>
          </w:pPr>
          <w:hyperlink w:anchor="_Toc62221514" w:history="1">
            <w:r w:rsidRPr="00031C90">
              <w:rPr>
                <w:rStyle w:val="Hyperlink"/>
                <w:noProof/>
              </w:rPr>
              <w:t>NDC conditional target</w:t>
            </w:r>
            <w:r>
              <w:rPr>
                <w:noProof/>
                <w:webHidden/>
              </w:rPr>
              <w:tab/>
            </w:r>
            <w:r>
              <w:rPr>
                <w:noProof/>
                <w:webHidden/>
              </w:rPr>
              <w:fldChar w:fldCharType="begin"/>
            </w:r>
            <w:r>
              <w:rPr>
                <w:noProof/>
                <w:webHidden/>
              </w:rPr>
              <w:instrText xml:space="preserve"> PAGEREF _Toc62221514 \h </w:instrText>
            </w:r>
            <w:r>
              <w:rPr>
                <w:noProof/>
                <w:webHidden/>
              </w:rPr>
            </w:r>
            <w:r>
              <w:rPr>
                <w:noProof/>
                <w:webHidden/>
              </w:rPr>
              <w:fldChar w:fldCharType="separate"/>
            </w:r>
            <w:r>
              <w:rPr>
                <w:noProof/>
                <w:webHidden/>
              </w:rPr>
              <w:t>74</w:t>
            </w:r>
            <w:r>
              <w:rPr>
                <w:noProof/>
                <w:webHidden/>
              </w:rPr>
              <w:fldChar w:fldCharType="end"/>
            </w:r>
          </w:hyperlink>
        </w:p>
        <w:p w14:paraId="1015BB28" w14:textId="1AA0CB67" w:rsidR="00500FE4" w:rsidRDefault="00500FE4">
          <w:pPr>
            <w:pStyle w:val="TOC5"/>
            <w:tabs>
              <w:tab w:val="right" w:pos="9742"/>
            </w:tabs>
            <w:rPr>
              <w:rFonts w:asciiTheme="minorHAnsi" w:eastAsiaTheme="minorEastAsia" w:hAnsiTheme="minorHAnsi" w:cstheme="minorBidi"/>
              <w:noProof/>
              <w:lang w:val="en-MY" w:eastAsia="zh-CN"/>
            </w:rPr>
          </w:pPr>
          <w:hyperlink w:anchor="_Toc62221515" w:history="1">
            <w:r w:rsidRPr="00031C90">
              <w:rPr>
                <w:rStyle w:val="Hyperlink"/>
                <w:noProof/>
              </w:rPr>
              <w:t>Investment required: IDR 2,271 trillion (US$ 160 billion)</w:t>
            </w:r>
            <w:r>
              <w:rPr>
                <w:noProof/>
                <w:webHidden/>
              </w:rPr>
              <w:tab/>
            </w:r>
            <w:r>
              <w:rPr>
                <w:noProof/>
                <w:webHidden/>
              </w:rPr>
              <w:fldChar w:fldCharType="begin"/>
            </w:r>
            <w:r>
              <w:rPr>
                <w:noProof/>
                <w:webHidden/>
              </w:rPr>
              <w:instrText xml:space="preserve"> PAGEREF _Toc62221515 \h </w:instrText>
            </w:r>
            <w:r>
              <w:rPr>
                <w:noProof/>
                <w:webHidden/>
              </w:rPr>
            </w:r>
            <w:r>
              <w:rPr>
                <w:noProof/>
                <w:webHidden/>
              </w:rPr>
              <w:fldChar w:fldCharType="separate"/>
            </w:r>
            <w:r>
              <w:rPr>
                <w:noProof/>
                <w:webHidden/>
              </w:rPr>
              <w:t>74</w:t>
            </w:r>
            <w:r>
              <w:rPr>
                <w:noProof/>
                <w:webHidden/>
              </w:rPr>
              <w:fldChar w:fldCharType="end"/>
            </w:r>
          </w:hyperlink>
        </w:p>
        <w:p w14:paraId="2CB9B1DE" w14:textId="321A4719" w:rsidR="00500FE4" w:rsidRDefault="00500FE4">
          <w:pPr>
            <w:pStyle w:val="TOC5"/>
            <w:tabs>
              <w:tab w:val="right" w:pos="9742"/>
            </w:tabs>
            <w:rPr>
              <w:rFonts w:asciiTheme="minorHAnsi" w:eastAsiaTheme="minorEastAsia" w:hAnsiTheme="minorHAnsi" w:cstheme="minorBidi"/>
              <w:noProof/>
              <w:lang w:val="en-MY" w:eastAsia="zh-CN"/>
            </w:rPr>
          </w:pPr>
          <w:hyperlink w:anchor="_Toc62221516"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_Toc62221516 \h </w:instrText>
            </w:r>
            <w:r>
              <w:rPr>
                <w:noProof/>
                <w:webHidden/>
              </w:rPr>
            </w:r>
            <w:r>
              <w:rPr>
                <w:noProof/>
                <w:webHidden/>
              </w:rPr>
              <w:fldChar w:fldCharType="separate"/>
            </w:r>
            <w:r>
              <w:rPr>
                <w:noProof/>
                <w:webHidden/>
              </w:rPr>
              <w:t>75</w:t>
            </w:r>
            <w:r>
              <w:rPr>
                <w:noProof/>
                <w:webHidden/>
              </w:rPr>
              <w:fldChar w:fldCharType="end"/>
            </w:r>
          </w:hyperlink>
        </w:p>
        <w:p w14:paraId="6AE95E4C" w14:textId="7D8EF308" w:rsidR="00500FE4" w:rsidRDefault="00500FE4">
          <w:pPr>
            <w:pStyle w:val="TOC5"/>
            <w:tabs>
              <w:tab w:val="right" w:pos="9742"/>
            </w:tabs>
            <w:rPr>
              <w:rFonts w:asciiTheme="minorHAnsi" w:eastAsiaTheme="minorEastAsia" w:hAnsiTheme="minorHAnsi" w:cstheme="minorBidi"/>
              <w:noProof/>
              <w:lang w:val="en-MY" w:eastAsia="zh-CN"/>
            </w:rPr>
          </w:pPr>
          <w:hyperlink w:anchor="_Toc62221517" w:history="1">
            <w:r w:rsidRPr="00031C90">
              <w:rPr>
                <w:rStyle w:val="Hyperlink"/>
                <w:noProof/>
              </w:rPr>
              <w:t>Coal lock-in</w:t>
            </w:r>
            <w:r>
              <w:rPr>
                <w:noProof/>
                <w:webHidden/>
              </w:rPr>
              <w:tab/>
            </w:r>
            <w:r>
              <w:rPr>
                <w:noProof/>
                <w:webHidden/>
              </w:rPr>
              <w:fldChar w:fldCharType="begin"/>
            </w:r>
            <w:r>
              <w:rPr>
                <w:noProof/>
                <w:webHidden/>
              </w:rPr>
              <w:instrText xml:space="preserve"> PAGEREF _Toc62221517 \h </w:instrText>
            </w:r>
            <w:r>
              <w:rPr>
                <w:noProof/>
                <w:webHidden/>
              </w:rPr>
            </w:r>
            <w:r>
              <w:rPr>
                <w:noProof/>
                <w:webHidden/>
              </w:rPr>
              <w:fldChar w:fldCharType="separate"/>
            </w:r>
            <w:r>
              <w:rPr>
                <w:noProof/>
                <w:webHidden/>
              </w:rPr>
              <w:t>75</w:t>
            </w:r>
            <w:r>
              <w:rPr>
                <w:noProof/>
                <w:webHidden/>
              </w:rPr>
              <w:fldChar w:fldCharType="end"/>
            </w:r>
          </w:hyperlink>
        </w:p>
        <w:p w14:paraId="15D382D9" w14:textId="7383C1BE" w:rsidR="00500FE4" w:rsidRDefault="00500FE4">
          <w:pPr>
            <w:pStyle w:val="TOC5"/>
            <w:tabs>
              <w:tab w:val="right" w:pos="9742"/>
            </w:tabs>
            <w:rPr>
              <w:rFonts w:asciiTheme="minorHAnsi" w:eastAsiaTheme="minorEastAsia" w:hAnsiTheme="minorHAnsi" w:cstheme="minorBidi"/>
              <w:noProof/>
              <w:lang w:val="en-MY" w:eastAsia="zh-CN"/>
            </w:rPr>
          </w:pPr>
          <w:hyperlink w:anchor="_Toc62221518" w:history="1">
            <w:r w:rsidRPr="00031C90">
              <w:rPr>
                <w:rStyle w:val="Hyperlink"/>
                <w:noProof/>
              </w:rPr>
              <w:t>Energy balance</w:t>
            </w:r>
            <w:r>
              <w:rPr>
                <w:noProof/>
                <w:webHidden/>
              </w:rPr>
              <w:tab/>
            </w:r>
            <w:r>
              <w:rPr>
                <w:noProof/>
                <w:webHidden/>
              </w:rPr>
              <w:fldChar w:fldCharType="begin"/>
            </w:r>
            <w:r>
              <w:rPr>
                <w:noProof/>
                <w:webHidden/>
              </w:rPr>
              <w:instrText xml:space="preserve"> PAGEREF _Toc62221518 \h </w:instrText>
            </w:r>
            <w:r>
              <w:rPr>
                <w:noProof/>
                <w:webHidden/>
              </w:rPr>
            </w:r>
            <w:r>
              <w:rPr>
                <w:noProof/>
                <w:webHidden/>
              </w:rPr>
              <w:fldChar w:fldCharType="separate"/>
            </w:r>
            <w:r>
              <w:rPr>
                <w:noProof/>
                <w:webHidden/>
              </w:rPr>
              <w:t>75</w:t>
            </w:r>
            <w:r>
              <w:rPr>
                <w:noProof/>
                <w:webHidden/>
              </w:rPr>
              <w:fldChar w:fldCharType="end"/>
            </w:r>
          </w:hyperlink>
        </w:p>
        <w:p w14:paraId="6E4F6E69" w14:textId="22EB1478" w:rsidR="00500FE4" w:rsidRDefault="00500FE4">
          <w:pPr>
            <w:pStyle w:val="TOC4"/>
            <w:tabs>
              <w:tab w:val="right" w:pos="9742"/>
            </w:tabs>
            <w:rPr>
              <w:rFonts w:asciiTheme="minorHAnsi" w:eastAsiaTheme="minorEastAsia" w:hAnsiTheme="minorHAnsi" w:cstheme="minorBidi"/>
              <w:noProof/>
              <w:lang w:val="en-MY" w:eastAsia="zh-CN"/>
            </w:rPr>
          </w:pPr>
          <w:hyperlink w:anchor="_Toc62221519" w:history="1">
            <w:r w:rsidRPr="00031C90">
              <w:rPr>
                <w:rStyle w:val="Hyperlink"/>
                <w:noProof/>
              </w:rPr>
              <w:t>Reduced fossil fuel subsidy with low carbon price</w:t>
            </w:r>
            <w:r>
              <w:rPr>
                <w:noProof/>
                <w:webHidden/>
              </w:rPr>
              <w:tab/>
            </w:r>
            <w:r>
              <w:rPr>
                <w:noProof/>
                <w:webHidden/>
              </w:rPr>
              <w:fldChar w:fldCharType="begin"/>
            </w:r>
            <w:r>
              <w:rPr>
                <w:noProof/>
                <w:webHidden/>
              </w:rPr>
              <w:instrText xml:space="preserve"> PAGEREF _Toc62221519 \h </w:instrText>
            </w:r>
            <w:r>
              <w:rPr>
                <w:noProof/>
                <w:webHidden/>
              </w:rPr>
            </w:r>
            <w:r>
              <w:rPr>
                <w:noProof/>
                <w:webHidden/>
              </w:rPr>
              <w:fldChar w:fldCharType="separate"/>
            </w:r>
            <w:r>
              <w:rPr>
                <w:noProof/>
                <w:webHidden/>
              </w:rPr>
              <w:t>75</w:t>
            </w:r>
            <w:r>
              <w:rPr>
                <w:noProof/>
                <w:webHidden/>
              </w:rPr>
              <w:fldChar w:fldCharType="end"/>
            </w:r>
          </w:hyperlink>
        </w:p>
        <w:p w14:paraId="784B9918" w14:textId="6DDB3439" w:rsidR="00500FE4" w:rsidRDefault="00500FE4">
          <w:pPr>
            <w:pStyle w:val="TOC5"/>
            <w:tabs>
              <w:tab w:val="right" w:pos="9742"/>
            </w:tabs>
            <w:rPr>
              <w:rFonts w:asciiTheme="minorHAnsi" w:eastAsiaTheme="minorEastAsia" w:hAnsiTheme="minorHAnsi" w:cstheme="minorBidi"/>
              <w:noProof/>
              <w:lang w:val="en-MY" w:eastAsia="zh-CN"/>
            </w:rPr>
          </w:pPr>
          <w:hyperlink w:anchor="_Toc62221520"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_Toc62221520 \h </w:instrText>
            </w:r>
            <w:r>
              <w:rPr>
                <w:noProof/>
                <w:webHidden/>
              </w:rPr>
            </w:r>
            <w:r>
              <w:rPr>
                <w:noProof/>
                <w:webHidden/>
              </w:rPr>
              <w:fldChar w:fldCharType="separate"/>
            </w:r>
            <w:r>
              <w:rPr>
                <w:noProof/>
                <w:webHidden/>
              </w:rPr>
              <w:t>75</w:t>
            </w:r>
            <w:r>
              <w:rPr>
                <w:noProof/>
                <w:webHidden/>
              </w:rPr>
              <w:fldChar w:fldCharType="end"/>
            </w:r>
          </w:hyperlink>
        </w:p>
        <w:p w14:paraId="073D1DBE" w14:textId="52AE4AD9" w:rsidR="00500FE4" w:rsidRDefault="00500FE4">
          <w:pPr>
            <w:pStyle w:val="TOC5"/>
            <w:tabs>
              <w:tab w:val="right" w:pos="9742"/>
            </w:tabs>
            <w:rPr>
              <w:rFonts w:asciiTheme="minorHAnsi" w:eastAsiaTheme="minorEastAsia" w:hAnsiTheme="minorHAnsi" w:cstheme="minorBidi"/>
              <w:noProof/>
              <w:lang w:val="en-MY" w:eastAsia="zh-CN"/>
            </w:rPr>
          </w:pPr>
          <w:hyperlink w:anchor="_Toc62221521"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_Toc62221521 \h </w:instrText>
            </w:r>
            <w:r>
              <w:rPr>
                <w:noProof/>
                <w:webHidden/>
              </w:rPr>
            </w:r>
            <w:r>
              <w:rPr>
                <w:noProof/>
                <w:webHidden/>
              </w:rPr>
              <w:fldChar w:fldCharType="separate"/>
            </w:r>
            <w:r>
              <w:rPr>
                <w:noProof/>
                <w:webHidden/>
              </w:rPr>
              <w:t>75</w:t>
            </w:r>
            <w:r>
              <w:rPr>
                <w:noProof/>
                <w:webHidden/>
              </w:rPr>
              <w:fldChar w:fldCharType="end"/>
            </w:r>
          </w:hyperlink>
        </w:p>
        <w:p w14:paraId="4EAAA46A" w14:textId="405AC942" w:rsidR="00500FE4" w:rsidRDefault="00500FE4">
          <w:pPr>
            <w:pStyle w:val="TOC5"/>
            <w:tabs>
              <w:tab w:val="right" w:pos="9742"/>
            </w:tabs>
            <w:rPr>
              <w:rFonts w:asciiTheme="minorHAnsi" w:eastAsiaTheme="minorEastAsia" w:hAnsiTheme="minorHAnsi" w:cstheme="minorBidi"/>
              <w:noProof/>
              <w:lang w:val="en-MY" w:eastAsia="zh-CN"/>
            </w:rPr>
          </w:pPr>
          <w:hyperlink w:anchor="_Toc62221522"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_Toc62221522 \h </w:instrText>
            </w:r>
            <w:r>
              <w:rPr>
                <w:noProof/>
                <w:webHidden/>
              </w:rPr>
            </w:r>
            <w:r>
              <w:rPr>
                <w:noProof/>
                <w:webHidden/>
              </w:rPr>
              <w:fldChar w:fldCharType="separate"/>
            </w:r>
            <w:r>
              <w:rPr>
                <w:noProof/>
                <w:webHidden/>
              </w:rPr>
              <w:t>75</w:t>
            </w:r>
            <w:r>
              <w:rPr>
                <w:noProof/>
                <w:webHidden/>
              </w:rPr>
              <w:fldChar w:fldCharType="end"/>
            </w:r>
          </w:hyperlink>
        </w:p>
        <w:p w14:paraId="03725EAA" w14:textId="61645F13" w:rsidR="00500FE4" w:rsidRDefault="00500FE4">
          <w:pPr>
            <w:pStyle w:val="TOC5"/>
            <w:tabs>
              <w:tab w:val="right" w:pos="9742"/>
            </w:tabs>
            <w:rPr>
              <w:rFonts w:asciiTheme="minorHAnsi" w:eastAsiaTheme="minorEastAsia" w:hAnsiTheme="minorHAnsi" w:cstheme="minorBidi"/>
              <w:noProof/>
              <w:lang w:val="en-MY" w:eastAsia="zh-CN"/>
            </w:rPr>
          </w:pPr>
          <w:hyperlink w:anchor="_Toc62221523"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_Toc62221523 \h </w:instrText>
            </w:r>
            <w:r>
              <w:rPr>
                <w:noProof/>
                <w:webHidden/>
              </w:rPr>
            </w:r>
            <w:r>
              <w:rPr>
                <w:noProof/>
                <w:webHidden/>
              </w:rPr>
              <w:fldChar w:fldCharType="separate"/>
            </w:r>
            <w:r>
              <w:rPr>
                <w:noProof/>
                <w:webHidden/>
              </w:rPr>
              <w:t>76</w:t>
            </w:r>
            <w:r>
              <w:rPr>
                <w:noProof/>
                <w:webHidden/>
              </w:rPr>
              <w:fldChar w:fldCharType="end"/>
            </w:r>
          </w:hyperlink>
        </w:p>
        <w:p w14:paraId="55A63F4D" w14:textId="39E8C1F6" w:rsidR="00500FE4" w:rsidRDefault="00500FE4">
          <w:pPr>
            <w:pStyle w:val="TOC5"/>
            <w:tabs>
              <w:tab w:val="right" w:pos="9742"/>
            </w:tabs>
            <w:rPr>
              <w:rFonts w:asciiTheme="minorHAnsi" w:eastAsiaTheme="minorEastAsia" w:hAnsiTheme="minorHAnsi" w:cstheme="minorBidi"/>
              <w:noProof/>
              <w:lang w:val="en-MY" w:eastAsia="zh-CN"/>
            </w:rPr>
          </w:pPr>
          <w:hyperlink w:anchor="_Toc62221524"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_Toc62221524 \h </w:instrText>
            </w:r>
            <w:r>
              <w:rPr>
                <w:noProof/>
                <w:webHidden/>
              </w:rPr>
            </w:r>
            <w:r>
              <w:rPr>
                <w:noProof/>
                <w:webHidden/>
              </w:rPr>
              <w:fldChar w:fldCharType="separate"/>
            </w:r>
            <w:r>
              <w:rPr>
                <w:noProof/>
                <w:webHidden/>
              </w:rPr>
              <w:t>76</w:t>
            </w:r>
            <w:r>
              <w:rPr>
                <w:noProof/>
                <w:webHidden/>
              </w:rPr>
              <w:fldChar w:fldCharType="end"/>
            </w:r>
          </w:hyperlink>
        </w:p>
        <w:p w14:paraId="65D758DE" w14:textId="36DE9418" w:rsidR="00500FE4" w:rsidRDefault="00500FE4">
          <w:pPr>
            <w:pStyle w:val="TOC5"/>
            <w:tabs>
              <w:tab w:val="right" w:pos="9742"/>
            </w:tabs>
            <w:rPr>
              <w:rFonts w:asciiTheme="minorHAnsi" w:eastAsiaTheme="minorEastAsia" w:hAnsiTheme="minorHAnsi" w:cstheme="minorBidi"/>
              <w:noProof/>
              <w:lang w:val="en-MY" w:eastAsia="zh-CN"/>
            </w:rPr>
          </w:pPr>
          <w:hyperlink w:anchor="_Toc62221525" w:history="1">
            <w:r w:rsidRPr="00031C90">
              <w:rPr>
                <w:rStyle w:val="Hyperlink"/>
                <w:noProof/>
              </w:rPr>
              <w:t>NDC conditional target</w:t>
            </w:r>
            <w:r>
              <w:rPr>
                <w:noProof/>
                <w:webHidden/>
              </w:rPr>
              <w:tab/>
            </w:r>
            <w:r>
              <w:rPr>
                <w:noProof/>
                <w:webHidden/>
              </w:rPr>
              <w:fldChar w:fldCharType="begin"/>
            </w:r>
            <w:r>
              <w:rPr>
                <w:noProof/>
                <w:webHidden/>
              </w:rPr>
              <w:instrText xml:space="preserve"> PAGEREF _Toc62221525 \h </w:instrText>
            </w:r>
            <w:r>
              <w:rPr>
                <w:noProof/>
                <w:webHidden/>
              </w:rPr>
            </w:r>
            <w:r>
              <w:rPr>
                <w:noProof/>
                <w:webHidden/>
              </w:rPr>
              <w:fldChar w:fldCharType="separate"/>
            </w:r>
            <w:r>
              <w:rPr>
                <w:noProof/>
                <w:webHidden/>
              </w:rPr>
              <w:t>77</w:t>
            </w:r>
            <w:r>
              <w:rPr>
                <w:noProof/>
                <w:webHidden/>
              </w:rPr>
              <w:fldChar w:fldCharType="end"/>
            </w:r>
          </w:hyperlink>
        </w:p>
        <w:p w14:paraId="11792C12" w14:textId="5828AE4F" w:rsidR="00500FE4" w:rsidRDefault="00500FE4">
          <w:pPr>
            <w:pStyle w:val="TOC5"/>
            <w:tabs>
              <w:tab w:val="right" w:pos="9742"/>
            </w:tabs>
            <w:rPr>
              <w:rFonts w:asciiTheme="minorHAnsi" w:eastAsiaTheme="minorEastAsia" w:hAnsiTheme="minorHAnsi" w:cstheme="minorBidi"/>
              <w:noProof/>
              <w:lang w:val="en-MY" w:eastAsia="zh-CN"/>
            </w:rPr>
          </w:pPr>
          <w:hyperlink w:anchor="_Toc62221526" w:history="1">
            <w:r w:rsidRPr="00031C90">
              <w:rPr>
                <w:rStyle w:val="Hyperlink"/>
                <w:noProof/>
              </w:rPr>
              <w:t>Investment required: IDR 2,555 (US$ 180 billion)</w:t>
            </w:r>
            <w:r>
              <w:rPr>
                <w:noProof/>
                <w:webHidden/>
              </w:rPr>
              <w:tab/>
            </w:r>
            <w:r>
              <w:rPr>
                <w:noProof/>
                <w:webHidden/>
              </w:rPr>
              <w:fldChar w:fldCharType="begin"/>
            </w:r>
            <w:r>
              <w:rPr>
                <w:noProof/>
                <w:webHidden/>
              </w:rPr>
              <w:instrText xml:space="preserve"> PAGEREF _Toc62221526 \h </w:instrText>
            </w:r>
            <w:r>
              <w:rPr>
                <w:noProof/>
                <w:webHidden/>
              </w:rPr>
            </w:r>
            <w:r>
              <w:rPr>
                <w:noProof/>
                <w:webHidden/>
              </w:rPr>
              <w:fldChar w:fldCharType="separate"/>
            </w:r>
            <w:r>
              <w:rPr>
                <w:noProof/>
                <w:webHidden/>
              </w:rPr>
              <w:t>77</w:t>
            </w:r>
            <w:r>
              <w:rPr>
                <w:noProof/>
                <w:webHidden/>
              </w:rPr>
              <w:fldChar w:fldCharType="end"/>
            </w:r>
          </w:hyperlink>
        </w:p>
        <w:p w14:paraId="709C65D5" w14:textId="36C9CBC9" w:rsidR="00500FE4" w:rsidRDefault="00500FE4">
          <w:pPr>
            <w:pStyle w:val="TOC5"/>
            <w:tabs>
              <w:tab w:val="right" w:pos="9742"/>
            </w:tabs>
            <w:rPr>
              <w:rFonts w:asciiTheme="minorHAnsi" w:eastAsiaTheme="minorEastAsia" w:hAnsiTheme="minorHAnsi" w:cstheme="minorBidi"/>
              <w:noProof/>
              <w:lang w:val="en-MY" w:eastAsia="zh-CN"/>
            </w:rPr>
          </w:pPr>
          <w:hyperlink w:anchor="_Toc62221527"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_Toc62221527 \h </w:instrText>
            </w:r>
            <w:r>
              <w:rPr>
                <w:noProof/>
                <w:webHidden/>
              </w:rPr>
            </w:r>
            <w:r>
              <w:rPr>
                <w:noProof/>
                <w:webHidden/>
              </w:rPr>
              <w:fldChar w:fldCharType="separate"/>
            </w:r>
            <w:r>
              <w:rPr>
                <w:noProof/>
                <w:webHidden/>
              </w:rPr>
              <w:t>77</w:t>
            </w:r>
            <w:r>
              <w:rPr>
                <w:noProof/>
                <w:webHidden/>
              </w:rPr>
              <w:fldChar w:fldCharType="end"/>
            </w:r>
          </w:hyperlink>
        </w:p>
        <w:p w14:paraId="3AFB9E88" w14:textId="312E7B0E" w:rsidR="00500FE4" w:rsidRDefault="00500FE4">
          <w:pPr>
            <w:pStyle w:val="TOC5"/>
            <w:tabs>
              <w:tab w:val="right" w:pos="9742"/>
            </w:tabs>
            <w:rPr>
              <w:rFonts w:asciiTheme="minorHAnsi" w:eastAsiaTheme="minorEastAsia" w:hAnsiTheme="minorHAnsi" w:cstheme="minorBidi"/>
              <w:noProof/>
              <w:lang w:val="en-MY" w:eastAsia="zh-CN"/>
            </w:rPr>
          </w:pPr>
          <w:hyperlink w:anchor="_Toc62221528" w:history="1">
            <w:r w:rsidRPr="00031C90">
              <w:rPr>
                <w:rStyle w:val="Hyperlink"/>
                <w:noProof/>
              </w:rPr>
              <w:t>Coal lock-in</w:t>
            </w:r>
            <w:r>
              <w:rPr>
                <w:noProof/>
                <w:webHidden/>
              </w:rPr>
              <w:tab/>
            </w:r>
            <w:r>
              <w:rPr>
                <w:noProof/>
                <w:webHidden/>
              </w:rPr>
              <w:fldChar w:fldCharType="begin"/>
            </w:r>
            <w:r>
              <w:rPr>
                <w:noProof/>
                <w:webHidden/>
              </w:rPr>
              <w:instrText xml:space="preserve"> PAGEREF _Toc62221528 \h </w:instrText>
            </w:r>
            <w:r>
              <w:rPr>
                <w:noProof/>
                <w:webHidden/>
              </w:rPr>
            </w:r>
            <w:r>
              <w:rPr>
                <w:noProof/>
                <w:webHidden/>
              </w:rPr>
              <w:fldChar w:fldCharType="separate"/>
            </w:r>
            <w:r>
              <w:rPr>
                <w:noProof/>
                <w:webHidden/>
              </w:rPr>
              <w:t>77</w:t>
            </w:r>
            <w:r>
              <w:rPr>
                <w:noProof/>
                <w:webHidden/>
              </w:rPr>
              <w:fldChar w:fldCharType="end"/>
            </w:r>
          </w:hyperlink>
        </w:p>
        <w:p w14:paraId="61FD8E83" w14:textId="3D6630F2" w:rsidR="00500FE4" w:rsidRDefault="00500FE4">
          <w:pPr>
            <w:pStyle w:val="TOC5"/>
            <w:tabs>
              <w:tab w:val="right" w:pos="9742"/>
            </w:tabs>
            <w:rPr>
              <w:rFonts w:asciiTheme="minorHAnsi" w:eastAsiaTheme="minorEastAsia" w:hAnsiTheme="minorHAnsi" w:cstheme="minorBidi"/>
              <w:noProof/>
              <w:lang w:val="en-MY" w:eastAsia="zh-CN"/>
            </w:rPr>
          </w:pPr>
          <w:hyperlink w:anchor="_Toc62221529" w:history="1">
            <w:r w:rsidRPr="00031C90">
              <w:rPr>
                <w:rStyle w:val="Hyperlink"/>
                <w:noProof/>
              </w:rPr>
              <w:t>Fossil fuel subsidy reform</w:t>
            </w:r>
            <w:r>
              <w:rPr>
                <w:noProof/>
                <w:webHidden/>
              </w:rPr>
              <w:tab/>
            </w:r>
            <w:r>
              <w:rPr>
                <w:noProof/>
                <w:webHidden/>
              </w:rPr>
              <w:fldChar w:fldCharType="begin"/>
            </w:r>
            <w:r>
              <w:rPr>
                <w:noProof/>
                <w:webHidden/>
              </w:rPr>
              <w:instrText xml:space="preserve"> PAGEREF _Toc62221529 \h </w:instrText>
            </w:r>
            <w:r>
              <w:rPr>
                <w:noProof/>
                <w:webHidden/>
              </w:rPr>
            </w:r>
            <w:r>
              <w:rPr>
                <w:noProof/>
                <w:webHidden/>
              </w:rPr>
              <w:fldChar w:fldCharType="separate"/>
            </w:r>
            <w:r>
              <w:rPr>
                <w:noProof/>
                <w:webHidden/>
              </w:rPr>
              <w:t>77</w:t>
            </w:r>
            <w:r>
              <w:rPr>
                <w:noProof/>
                <w:webHidden/>
              </w:rPr>
              <w:fldChar w:fldCharType="end"/>
            </w:r>
          </w:hyperlink>
        </w:p>
        <w:p w14:paraId="57511FE4" w14:textId="6731B383" w:rsidR="00500FE4" w:rsidRDefault="00500FE4">
          <w:pPr>
            <w:pStyle w:val="TOC5"/>
            <w:tabs>
              <w:tab w:val="right" w:pos="9742"/>
            </w:tabs>
            <w:rPr>
              <w:rFonts w:asciiTheme="minorHAnsi" w:eastAsiaTheme="minorEastAsia" w:hAnsiTheme="minorHAnsi" w:cstheme="minorBidi"/>
              <w:noProof/>
              <w:lang w:val="en-MY" w:eastAsia="zh-CN"/>
            </w:rPr>
          </w:pPr>
          <w:hyperlink w:anchor="_Toc62221530" w:history="1">
            <w:r w:rsidRPr="00031C90">
              <w:rPr>
                <w:rStyle w:val="Hyperlink"/>
                <w:noProof/>
              </w:rPr>
              <w:t>Price on carbon</w:t>
            </w:r>
            <w:r>
              <w:rPr>
                <w:noProof/>
                <w:webHidden/>
              </w:rPr>
              <w:tab/>
            </w:r>
            <w:r>
              <w:rPr>
                <w:noProof/>
                <w:webHidden/>
              </w:rPr>
              <w:fldChar w:fldCharType="begin"/>
            </w:r>
            <w:r>
              <w:rPr>
                <w:noProof/>
                <w:webHidden/>
              </w:rPr>
              <w:instrText xml:space="preserve"> PAGEREF _Toc62221530 \h </w:instrText>
            </w:r>
            <w:r>
              <w:rPr>
                <w:noProof/>
                <w:webHidden/>
              </w:rPr>
            </w:r>
            <w:r>
              <w:rPr>
                <w:noProof/>
                <w:webHidden/>
              </w:rPr>
              <w:fldChar w:fldCharType="separate"/>
            </w:r>
            <w:r>
              <w:rPr>
                <w:noProof/>
                <w:webHidden/>
              </w:rPr>
              <w:t>77</w:t>
            </w:r>
            <w:r>
              <w:rPr>
                <w:noProof/>
                <w:webHidden/>
              </w:rPr>
              <w:fldChar w:fldCharType="end"/>
            </w:r>
          </w:hyperlink>
        </w:p>
        <w:p w14:paraId="5E4141AC" w14:textId="29F96AEC" w:rsidR="00500FE4" w:rsidRDefault="00500FE4">
          <w:pPr>
            <w:pStyle w:val="TOC5"/>
            <w:tabs>
              <w:tab w:val="right" w:pos="9742"/>
            </w:tabs>
            <w:rPr>
              <w:rFonts w:asciiTheme="minorHAnsi" w:eastAsiaTheme="minorEastAsia" w:hAnsiTheme="minorHAnsi" w:cstheme="minorBidi"/>
              <w:noProof/>
              <w:lang w:val="en-MY" w:eastAsia="zh-CN"/>
            </w:rPr>
          </w:pPr>
          <w:hyperlink w:anchor="_Toc62221531" w:history="1">
            <w:r w:rsidRPr="00031C90">
              <w:rPr>
                <w:rStyle w:val="Hyperlink"/>
                <w:noProof/>
              </w:rPr>
              <w:t>Energy balance</w:t>
            </w:r>
            <w:r>
              <w:rPr>
                <w:noProof/>
                <w:webHidden/>
              </w:rPr>
              <w:tab/>
            </w:r>
            <w:r>
              <w:rPr>
                <w:noProof/>
                <w:webHidden/>
              </w:rPr>
              <w:fldChar w:fldCharType="begin"/>
            </w:r>
            <w:r>
              <w:rPr>
                <w:noProof/>
                <w:webHidden/>
              </w:rPr>
              <w:instrText xml:space="preserve"> PAGEREF _Toc62221531 \h </w:instrText>
            </w:r>
            <w:r>
              <w:rPr>
                <w:noProof/>
                <w:webHidden/>
              </w:rPr>
            </w:r>
            <w:r>
              <w:rPr>
                <w:noProof/>
                <w:webHidden/>
              </w:rPr>
              <w:fldChar w:fldCharType="separate"/>
            </w:r>
            <w:r>
              <w:rPr>
                <w:noProof/>
                <w:webHidden/>
              </w:rPr>
              <w:t>78</w:t>
            </w:r>
            <w:r>
              <w:rPr>
                <w:noProof/>
                <w:webHidden/>
              </w:rPr>
              <w:fldChar w:fldCharType="end"/>
            </w:r>
          </w:hyperlink>
        </w:p>
        <w:p w14:paraId="08814725" w14:textId="49F82C62" w:rsidR="00500FE4" w:rsidRDefault="00500FE4">
          <w:pPr>
            <w:pStyle w:val="TOC4"/>
            <w:tabs>
              <w:tab w:val="right" w:pos="9742"/>
            </w:tabs>
            <w:rPr>
              <w:rFonts w:asciiTheme="minorHAnsi" w:eastAsiaTheme="minorEastAsia" w:hAnsiTheme="minorHAnsi" w:cstheme="minorBidi"/>
              <w:noProof/>
              <w:lang w:val="en-MY" w:eastAsia="zh-CN"/>
            </w:rPr>
          </w:pPr>
          <w:hyperlink w:anchor="_Toc62221532" w:history="1">
            <w:r w:rsidRPr="00031C90">
              <w:rPr>
                <w:rStyle w:val="Hyperlink"/>
                <w:noProof/>
              </w:rPr>
              <w:t>Reduced fossil fuel subsidy with high carbon price</w:t>
            </w:r>
            <w:r>
              <w:rPr>
                <w:noProof/>
                <w:webHidden/>
              </w:rPr>
              <w:tab/>
            </w:r>
            <w:r>
              <w:rPr>
                <w:noProof/>
                <w:webHidden/>
              </w:rPr>
              <w:fldChar w:fldCharType="begin"/>
            </w:r>
            <w:r>
              <w:rPr>
                <w:noProof/>
                <w:webHidden/>
              </w:rPr>
              <w:instrText xml:space="preserve"> PAGEREF _Toc62221532 \h </w:instrText>
            </w:r>
            <w:r>
              <w:rPr>
                <w:noProof/>
                <w:webHidden/>
              </w:rPr>
            </w:r>
            <w:r>
              <w:rPr>
                <w:noProof/>
                <w:webHidden/>
              </w:rPr>
              <w:fldChar w:fldCharType="separate"/>
            </w:r>
            <w:r>
              <w:rPr>
                <w:noProof/>
                <w:webHidden/>
              </w:rPr>
              <w:t>78</w:t>
            </w:r>
            <w:r>
              <w:rPr>
                <w:noProof/>
                <w:webHidden/>
              </w:rPr>
              <w:fldChar w:fldCharType="end"/>
            </w:r>
          </w:hyperlink>
        </w:p>
        <w:p w14:paraId="6292F9E1" w14:textId="7C10B3F2" w:rsidR="00500FE4" w:rsidRDefault="00500FE4">
          <w:pPr>
            <w:pStyle w:val="TOC5"/>
            <w:tabs>
              <w:tab w:val="right" w:pos="9742"/>
            </w:tabs>
            <w:rPr>
              <w:rFonts w:asciiTheme="minorHAnsi" w:eastAsiaTheme="minorEastAsia" w:hAnsiTheme="minorHAnsi" w:cstheme="minorBidi"/>
              <w:noProof/>
              <w:lang w:val="en-MY" w:eastAsia="zh-CN"/>
            </w:rPr>
          </w:pPr>
          <w:hyperlink w:anchor="_Toc62221533"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_Toc62221533 \h </w:instrText>
            </w:r>
            <w:r>
              <w:rPr>
                <w:noProof/>
                <w:webHidden/>
              </w:rPr>
            </w:r>
            <w:r>
              <w:rPr>
                <w:noProof/>
                <w:webHidden/>
              </w:rPr>
              <w:fldChar w:fldCharType="separate"/>
            </w:r>
            <w:r>
              <w:rPr>
                <w:noProof/>
                <w:webHidden/>
              </w:rPr>
              <w:t>78</w:t>
            </w:r>
            <w:r>
              <w:rPr>
                <w:noProof/>
                <w:webHidden/>
              </w:rPr>
              <w:fldChar w:fldCharType="end"/>
            </w:r>
          </w:hyperlink>
        </w:p>
        <w:p w14:paraId="3B8929B8" w14:textId="6B4E59E3" w:rsidR="00500FE4" w:rsidRDefault="00500FE4">
          <w:pPr>
            <w:pStyle w:val="TOC5"/>
            <w:tabs>
              <w:tab w:val="right" w:pos="9742"/>
            </w:tabs>
            <w:rPr>
              <w:rFonts w:asciiTheme="minorHAnsi" w:eastAsiaTheme="minorEastAsia" w:hAnsiTheme="minorHAnsi" w:cstheme="minorBidi"/>
              <w:noProof/>
              <w:lang w:val="en-MY" w:eastAsia="zh-CN"/>
            </w:rPr>
          </w:pPr>
          <w:hyperlink w:anchor="_Toc62221534"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_Toc62221534 \h </w:instrText>
            </w:r>
            <w:r>
              <w:rPr>
                <w:noProof/>
                <w:webHidden/>
              </w:rPr>
            </w:r>
            <w:r>
              <w:rPr>
                <w:noProof/>
                <w:webHidden/>
              </w:rPr>
              <w:fldChar w:fldCharType="separate"/>
            </w:r>
            <w:r>
              <w:rPr>
                <w:noProof/>
                <w:webHidden/>
              </w:rPr>
              <w:t>78</w:t>
            </w:r>
            <w:r>
              <w:rPr>
                <w:noProof/>
                <w:webHidden/>
              </w:rPr>
              <w:fldChar w:fldCharType="end"/>
            </w:r>
          </w:hyperlink>
        </w:p>
        <w:p w14:paraId="181250C9" w14:textId="69E3944A" w:rsidR="00500FE4" w:rsidRDefault="00500FE4">
          <w:pPr>
            <w:pStyle w:val="TOC5"/>
            <w:tabs>
              <w:tab w:val="right" w:pos="9742"/>
            </w:tabs>
            <w:rPr>
              <w:rFonts w:asciiTheme="minorHAnsi" w:eastAsiaTheme="minorEastAsia" w:hAnsiTheme="minorHAnsi" w:cstheme="minorBidi"/>
              <w:noProof/>
              <w:lang w:val="en-MY" w:eastAsia="zh-CN"/>
            </w:rPr>
          </w:pPr>
          <w:hyperlink w:anchor="_Toc62221535"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_Toc62221535 \h </w:instrText>
            </w:r>
            <w:r>
              <w:rPr>
                <w:noProof/>
                <w:webHidden/>
              </w:rPr>
            </w:r>
            <w:r>
              <w:rPr>
                <w:noProof/>
                <w:webHidden/>
              </w:rPr>
              <w:fldChar w:fldCharType="separate"/>
            </w:r>
            <w:r>
              <w:rPr>
                <w:noProof/>
                <w:webHidden/>
              </w:rPr>
              <w:t>78</w:t>
            </w:r>
            <w:r>
              <w:rPr>
                <w:noProof/>
                <w:webHidden/>
              </w:rPr>
              <w:fldChar w:fldCharType="end"/>
            </w:r>
          </w:hyperlink>
        </w:p>
        <w:p w14:paraId="11B1F9CD" w14:textId="2045C01F" w:rsidR="00500FE4" w:rsidRDefault="00500FE4">
          <w:pPr>
            <w:pStyle w:val="TOC5"/>
            <w:tabs>
              <w:tab w:val="right" w:pos="9742"/>
            </w:tabs>
            <w:rPr>
              <w:rFonts w:asciiTheme="minorHAnsi" w:eastAsiaTheme="minorEastAsia" w:hAnsiTheme="minorHAnsi" w:cstheme="minorBidi"/>
              <w:noProof/>
              <w:lang w:val="en-MY" w:eastAsia="zh-CN"/>
            </w:rPr>
          </w:pPr>
          <w:hyperlink w:anchor="_Toc62221536"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_Toc62221536 \h </w:instrText>
            </w:r>
            <w:r>
              <w:rPr>
                <w:noProof/>
                <w:webHidden/>
              </w:rPr>
            </w:r>
            <w:r>
              <w:rPr>
                <w:noProof/>
                <w:webHidden/>
              </w:rPr>
              <w:fldChar w:fldCharType="separate"/>
            </w:r>
            <w:r>
              <w:rPr>
                <w:noProof/>
                <w:webHidden/>
              </w:rPr>
              <w:t>78</w:t>
            </w:r>
            <w:r>
              <w:rPr>
                <w:noProof/>
                <w:webHidden/>
              </w:rPr>
              <w:fldChar w:fldCharType="end"/>
            </w:r>
          </w:hyperlink>
        </w:p>
        <w:p w14:paraId="73C8EB96" w14:textId="378C1E52" w:rsidR="00500FE4" w:rsidRDefault="00500FE4">
          <w:pPr>
            <w:pStyle w:val="TOC5"/>
            <w:tabs>
              <w:tab w:val="right" w:pos="9742"/>
            </w:tabs>
            <w:rPr>
              <w:rFonts w:asciiTheme="minorHAnsi" w:eastAsiaTheme="minorEastAsia" w:hAnsiTheme="minorHAnsi" w:cstheme="minorBidi"/>
              <w:noProof/>
              <w:lang w:val="en-MY" w:eastAsia="zh-CN"/>
            </w:rPr>
          </w:pPr>
          <w:hyperlink w:anchor="_Toc62221537"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_Toc62221537 \h </w:instrText>
            </w:r>
            <w:r>
              <w:rPr>
                <w:noProof/>
                <w:webHidden/>
              </w:rPr>
            </w:r>
            <w:r>
              <w:rPr>
                <w:noProof/>
                <w:webHidden/>
              </w:rPr>
              <w:fldChar w:fldCharType="separate"/>
            </w:r>
            <w:r>
              <w:rPr>
                <w:noProof/>
                <w:webHidden/>
              </w:rPr>
              <w:t>78</w:t>
            </w:r>
            <w:r>
              <w:rPr>
                <w:noProof/>
                <w:webHidden/>
              </w:rPr>
              <w:fldChar w:fldCharType="end"/>
            </w:r>
          </w:hyperlink>
        </w:p>
        <w:p w14:paraId="7E02C995" w14:textId="59BBD13D" w:rsidR="00500FE4" w:rsidRDefault="00500FE4">
          <w:pPr>
            <w:pStyle w:val="TOC5"/>
            <w:tabs>
              <w:tab w:val="right" w:pos="9742"/>
            </w:tabs>
            <w:rPr>
              <w:rFonts w:asciiTheme="minorHAnsi" w:eastAsiaTheme="minorEastAsia" w:hAnsiTheme="minorHAnsi" w:cstheme="minorBidi"/>
              <w:noProof/>
              <w:lang w:val="en-MY" w:eastAsia="zh-CN"/>
            </w:rPr>
          </w:pPr>
          <w:hyperlink w:anchor="_Toc62221538" w:history="1">
            <w:r w:rsidRPr="00031C90">
              <w:rPr>
                <w:rStyle w:val="Hyperlink"/>
                <w:noProof/>
              </w:rPr>
              <w:t>NDC conditional target</w:t>
            </w:r>
            <w:r>
              <w:rPr>
                <w:noProof/>
                <w:webHidden/>
              </w:rPr>
              <w:tab/>
            </w:r>
            <w:r>
              <w:rPr>
                <w:noProof/>
                <w:webHidden/>
              </w:rPr>
              <w:fldChar w:fldCharType="begin"/>
            </w:r>
            <w:r>
              <w:rPr>
                <w:noProof/>
                <w:webHidden/>
              </w:rPr>
              <w:instrText xml:space="preserve"> PAGEREF _Toc62221538 \h </w:instrText>
            </w:r>
            <w:r>
              <w:rPr>
                <w:noProof/>
                <w:webHidden/>
              </w:rPr>
            </w:r>
            <w:r>
              <w:rPr>
                <w:noProof/>
                <w:webHidden/>
              </w:rPr>
              <w:fldChar w:fldCharType="separate"/>
            </w:r>
            <w:r>
              <w:rPr>
                <w:noProof/>
                <w:webHidden/>
              </w:rPr>
              <w:t>79</w:t>
            </w:r>
            <w:r>
              <w:rPr>
                <w:noProof/>
                <w:webHidden/>
              </w:rPr>
              <w:fldChar w:fldCharType="end"/>
            </w:r>
          </w:hyperlink>
        </w:p>
        <w:p w14:paraId="4BFC4F24" w14:textId="074DC0C0" w:rsidR="00500FE4" w:rsidRDefault="00500FE4">
          <w:pPr>
            <w:pStyle w:val="TOC5"/>
            <w:tabs>
              <w:tab w:val="right" w:pos="9742"/>
            </w:tabs>
            <w:rPr>
              <w:rFonts w:asciiTheme="minorHAnsi" w:eastAsiaTheme="minorEastAsia" w:hAnsiTheme="minorHAnsi" w:cstheme="minorBidi"/>
              <w:noProof/>
              <w:lang w:val="en-MY" w:eastAsia="zh-CN"/>
            </w:rPr>
          </w:pPr>
          <w:hyperlink w:anchor="_Toc62221539" w:history="1">
            <w:r w:rsidRPr="00031C90">
              <w:rPr>
                <w:rStyle w:val="Hyperlink"/>
                <w:noProof/>
              </w:rPr>
              <w:t>Investment required: IDR 3,010 trillion (US$ 212 billion).</w:t>
            </w:r>
            <w:r>
              <w:rPr>
                <w:noProof/>
                <w:webHidden/>
              </w:rPr>
              <w:tab/>
            </w:r>
            <w:r>
              <w:rPr>
                <w:noProof/>
                <w:webHidden/>
              </w:rPr>
              <w:fldChar w:fldCharType="begin"/>
            </w:r>
            <w:r>
              <w:rPr>
                <w:noProof/>
                <w:webHidden/>
              </w:rPr>
              <w:instrText xml:space="preserve"> PAGEREF _Toc62221539 \h </w:instrText>
            </w:r>
            <w:r>
              <w:rPr>
                <w:noProof/>
                <w:webHidden/>
              </w:rPr>
            </w:r>
            <w:r>
              <w:rPr>
                <w:noProof/>
                <w:webHidden/>
              </w:rPr>
              <w:fldChar w:fldCharType="separate"/>
            </w:r>
            <w:r>
              <w:rPr>
                <w:noProof/>
                <w:webHidden/>
              </w:rPr>
              <w:t>80</w:t>
            </w:r>
            <w:r>
              <w:rPr>
                <w:noProof/>
                <w:webHidden/>
              </w:rPr>
              <w:fldChar w:fldCharType="end"/>
            </w:r>
          </w:hyperlink>
        </w:p>
        <w:p w14:paraId="2974F537" w14:textId="20C70CC7" w:rsidR="00500FE4" w:rsidRDefault="00500FE4">
          <w:pPr>
            <w:pStyle w:val="TOC5"/>
            <w:tabs>
              <w:tab w:val="right" w:pos="9742"/>
            </w:tabs>
            <w:rPr>
              <w:rFonts w:asciiTheme="minorHAnsi" w:eastAsiaTheme="minorEastAsia" w:hAnsiTheme="minorHAnsi" w:cstheme="minorBidi"/>
              <w:noProof/>
              <w:lang w:val="en-MY" w:eastAsia="zh-CN"/>
            </w:rPr>
          </w:pPr>
          <w:hyperlink w:anchor="_Toc62221540"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_Toc62221540 \h </w:instrText>
            </w:r>
            <w:r>
              <w:rPr>
                <w:noProof/>
                <w:webHidden/>
              </w:rPr>
            </w:r>
            <w:r>
              <w:rPr>
                <w:noProof/>
                <w:webHidden/>
              </w:rPr>
              <w:fldChar w:fldCharType="separate"/>
            </w:r>
            <w:r>
              <w:rPr>
                <w:noProof/>
                <w:webHidden/>
              </w:rPr>
              <w:t>80</w:t>
            </w:r>
            <w:r>
              <w:rPr>
                <w:noProof/>
                <w:webHidden/>
              </w:rPr>
              <w:fldChar w:fldCharType="end"/>
            </w:r>
          </w:hyperlink>
        </w:p>
        <w:p w14:paraId="06F0105B" w14:textId="03334DFE" w:rsidR="00500FE4" w:rsidRDefault="00500FE4">
          <w:pPr>
            <w:pStyle w:val="TOC5"/>
            <w:tabs>
              <w:tab w:val="right" w:pos="9742"/>
            </w:tabs>
            <w:rPr>
              <w:rFonts w:asciiTheme="minorHAnsi" w:eastAsiaTheme="minorEastAsia" w:hAnsiTheme="minorHAnsi" w:cstheme="minorBidi"/>
              <w:noProof/>
              <w:lang w:val="en-MY" w:eastAsia="zh-CN"/>
            </w:rPr>
          </w:pPr>
          <w:hyperlink w:anchor="_Toc62221541" w:history="1">
            <w:r w:rsidRPr="00031C90">
              <w:rPr>
                <w:rStyle w:val="Hyperlink"/>
                <w:noProof/>
              </w:rPr>
              <w:t>Coal lock-in</w:t>
            </w:r>
            <w:r>
              <w:rPr>
                <w:noProof/>
                <w:webHidden/>
              </w:rPr>
              <w:tab/>
            </w:r>
            <w:r>
              <w:rPr>
                <w:noProof/>
                <w:webHidden/>
              </w:rPr>
              <w:fldChar w:fldCharType="begin"/>
            </w:r>
            <w:r>
              <w:rPr>
                <w:noProof/>
                <w:webHidden/>
              </w:rPr>
              <w:instrText xml:space="preserve"> PAGEREF _Toc62221541 \h </w:instrText>
            </w:r>
            <w:r>
              <w:rPr>
                <w:noProof/>
                <w:webHidden/>
              </w:rPr>
            </w:r>
            <w:r>
              <w:rPr>
                <w:noProof/>
                <w:webHidden/>
              </w:rPr>
              <w:fldChar w:fldCharType="separate"/>
            </w:r>
            <w:r>
              <w:rPr>
                <w:noProof/>
                <w:webHidden/>
              </w:rPr>
              <w:t>80</w:t>
            </w:r>
            <w:r>
              <w:rPr>
                <w:noProof/>
                <w:webHidden/>
              </w:rPr>
              <w:fldChar w:fldCharType="end"/>
            </w:r>
          </w:hyperlink>
        </w:p>
        <w:p w14:paraId="42B03093" w14:textId="458522C0" w:rsidR="00500FE4" w:rsidRDefault="00500FE4">
          <w:pPr>
            <w:pStyle w:val="TOC5"/>
            <w:tabs>
              <w:tab w:val="right" w:pos="9742"/>
            </w:tabs>
            <w:rPr>
              <w:rFonts w:asciiTheme="minorHAnsi" w:eastAsiaTheme="minorEastAsia" w:hAnsiTheme="minorHAnsi" w:cstheme="minorBidi"/>
              <w:noProof/>
              <w:lang w:val="en-MY" w:eastAsia="zh-CN"/>
            </w:rPr>
          </w:pPr>
          <w:hyperlink w:anchor="_Toc62221542" w:history="1">
            <w:r w:rsidRPr="00031C90">
              <w:rPr>
                <w:rStyle w:val="Hyperlink"/>
                <w:noProof/>
              </w:rPr>
              <w:t>Fossil Fuel subsidy reform</w:t>
            </w:r>
            <w:r>
              <w:rPr>
                <w:noProof/>
                <w:webHidden/>
              </w:rPr>
              <w:tab/>
            </w:r>
            <w:r>
              <w:rPr>
                <w:noProof/>
                <w:webHidden/>
              </w:rPr>
              <w:fldChar w:fldCharType="begin"/>
            </w:r>
            <w:r>
              <w:rPr>
                <w:noProof/>
                <w:webHidden/>
              </w:rPr>
              <w:instrText xml:space="preserve"> PAGEREF _Toc62221542 \h </w:instrText>
            </w:r>
            <w:r>
              <w:rPr>
                <w:noProof/>
                <w:webHidden/>
              </w:rPr>
            </w:r>
            <w:r>
              <w:rPr>
                <w:noProof/>
                <w:webHidden/>
              </w:rPr>
              <w:fldChar w:fldCharType="separate"/>
            </w:r>
            <w:r>
              <w:rPr>
                <w:noProof/>
                <w:webHidden/>
              </w:rPr>
              <w:t>80</w:t>
            </w:r>
            <w:r>
              <w:rPr>
                <w:noProof/>
                <w:webHidden/>
              </w:rPr>
              <w:fldChar w:fldCharType="end"/>
            </w:r>
          </w:hyperlink>
        </w:p>
        <w:p w14:paraId="7C44561C" w14:textId="08C9932B" w:rsidR="00500FE4" w:rsidRDefault="00500FE4">
          <w:pPr>
            <w:pStyle w:val="TOC5"/>
            <w:tabs>
              <w:tab w:val="right" w:pos="9742"/>
            </w:tabs>
            <w:rPr>
              <w:rFonts w:asciiTheme="minorHAnsi" w:eastAsiaTheme="minorEastAsia" w:hAnsiTheme="minorHAnsi" w:cstheme="minorBidi"/>
              <w:noProof/>
              <w:lang w:val="en-MY" w:eastAsia="zh-CN"/>
            </w:rPr>
          </w:pPr>
          <w:hyperlink w:anchor="_Toc62221543" w:history="1">
            <w:r w:rsidRPr="00031C90">
              <w:rPr>
                <w:rStyle w:val="Hyperlink"/>
                <w:noProof/>
              </w:rPr>
              <w:t>Price on carbon</w:t>
            </w:r>
            <w:r>
              <w:rPr>
                <w:noProof/>
                <w:webHidden/>
              </w:rPr>
              <w:tab/>
            </w:r>
            <w:r>
              <w:rPr>
                <w:noProof/>
                <w:webHidden/>
              </w:rPr>
              <w:fldChar w:fldCharType="begin"/>
            </w:r>
            <w:r>
              <w:rPr>
                <w:noProof/>
                <w:webHidden/>
              </w:rPr>
              <w:instrText xml:space="preserve"> PAGEREF _Toc62221543 \h </w:instrText>
            </w:r>
            <w:r>
              <w:rPr>
                <w:noProof/>
                <w:webHidden/>
              </w:rPr>
            </w:r>
            <w:r>
              <w:rPr>
                <w:noProof/>
                <w:webHidden/>
              </w:rPr>
              <w:fldChar w:fldCharType="separate"/>
            </w:r>
            <w:r>
              <w:rPr>
                <w:noProof/>
                <w:webHidden/>
              </w:rPr>
              <w:t>80</w:t>
            </w:r>
            <w:r>
              <w:rPr>
                <w:noProof/>
                <w:webHidden/>
              </w:rPr>
              <w:fldChar w:fldCharType="end"/>
            </w:r>
          </w:hyperlink>
        </w:p>
        <w:p w14:paraId="64A860CA" w14:textId="2F766421" w:rsidR="00500FE4" w:rsidRDefault="00500FE4">
          <w:pPr>
            <w:pStyle w:val="TOC5"/>
            <w:tabs>
              <w:tab w:val="right" w:pos="9742"/>
            </w:tabs>
            <w:rPr>
              <w:rFonts w:asciiTheme="minorHAnsi" w:eastAsiaTheme="minorEastAsia" w:hAnsiTheme="minorHAnsi" w:cstheme="minorBidi"/>
              <w:noProof/>
              <w:lang w:val="en-MY" w:eastAsia="zh-CN"/>
            </w:rPr>
          </w:pPr>
          <w:hyperlink w:anchor="_Toc62221544" w:history="1">
            <w:r w:rsidRPr="00031C90">
              <w:rPr>
                <w:rStyle w:val="Hyperlink"/>
                <w:noProof/>
              </w:rPr>
              <w:t>Energy balance</w:t>
            </w:r>
            <w:r>
              <w:rPr>
                <w:noProof/>
                <w:webHidden/>
              </w:rPr>
              <w:tab/>
            </w:r>
            <w:r>
              <w:rPr>
                <w:noProof/>
                <w:webHidden/>
              </w:rPr>
              <w:fldChar w:fldCharType="begin"/>
            </w:r>
            <w:r>
              <w:rPr>
                <w:noProof/>
                <w:webHidden/>
              </w:rPr>
              <w:instrText xml:space="preserve"> PAGEREF _Toc62221544 \h </w:instrText>
            </w:r>
            <w:r>
              <w:rPr>
                <w:noProof/>
                <w:webHidden/>
              </w:rPr>
            </w:r>
            <w:r>
              <w:rPr>
                <w:noProof/>
                <w:webHidden/>
              </w:rPr>
              <w:fldChar w:fldCharType="separate"/>
            </w:r>
            <w:r>
              <w:rPr>
                <w:noProof/>
                <w:webHidden/>
              </w:rPr>
              <w:t>80</w:t>
            </w:r>
            <w:r>
              <w:rPr>
                <w:noProof/>
                <w:webHidden/>
              </w:rPr>
              <w:fldChar w:fldCharType="end"/>
            </w:r>
          </w:hyperlink>
        </w:p>
        <w:p w14:paraId="2A95FF86" w14:textId="1A99920D" w:rsidR="00500FE4" w:rsidRDefault="00500FE4">
          <w:pPr>
            <w:pStyle w:val="TOC4"/>
            <w:tabs>
              <w:tab w:val="right" w:pos="9742"/>
            </w:tabs>
            <w:rPr>
              <w:rFonts w:asciiTheme="minorHAnsi" w:eastAsiaTheme="minorEastAsia" w:hAnsiTheme="minorHAnsi" w:cstheme="minorBidi"/>
              <w:noProof/>
              <w:lang w:val="en-MY" w:eastAsia="zh-CN"/>
            </w:rPr>
          </w:pPr>
          <w:hyperlink w:anchor="_Toc62221545" w:history="1">
            <w:r w:rsidRPr="00031C90">
              <w:rPr>
                <w:rStyle w:val="Hyperlink"/>
                <w:noProof/>
              </w:rPr>
              <w:t>Enhancing NDC with reduced coal and fossil fuel subsidy</w:t>
            </w:r>
            <w:r>
              <w:rPr>
                <w:noProof/>
                <w:webHidden/>
              </w:rPr>
              <w:tab/>
            </w:r>
            <w:r>
              <w:rPr>
                <w:noProof/>
                <w:webHidden/>
              </w:rPr>
              <w:fldChar w:fldCharType="begin"/>
            </w:r>
            <w:r>
              <w:rPr>
                <w:noProof/>
                <w:webHidden/>
              </w:rPr>
              <w:instrText xml:space="preserve"> PAGEREF _Toc62221545 \h </w:instrText>
            </w:r>
            <w:r>
              <w:rPr>
                <w:noProof/>
                <w:webHidden/>
              </w:rPr>
            </w:r>
            <w:r>
              <w:rPr>
                <w:noProof/>
                <w:webHidden/>
              </w:rPr>
              <w:fldChar w:fldCharType="separate"/>
            </w:r>
            <w:r>
              <w:rPr>
                <w:noProof/>
                <w:webHidden/>
              </w:rPr>
              <w:t>80</w:t>
            </w:r>
            <w:r>
              <w:rPr>
                <w:noProof/>
                <w:webHidden/>
              </w:rPr>
              <w:fldChar w:fldCharType="end"/>
            </w:r>
          </w:hyperlink>
        </w:p>
        <w:p w14:paraId="57787EDC" w14:textId="3475F65F" w:rsidR="00500FE4" w:rsidRDefault="00500FE4">
          <w:pPr>
            <w:pStyle w:val="TOC5"/>
            <w:tabs>
              <w:tab w:val="right" w:pos="9742"/>
            </w:tabs>
            <w:rPr>
              <w:rFonts w:asciiTheme="minorHAnsi" w:eastAsiaTheme="minorEastAsia" w:hAnsiTheme="minorHAnsi" w:cstheme="minorBidi"/>
              <w:noProof/>
              <w:lang w:val="en-MY" w:eastAsia="zh-CN"/>
            </w:rPr>
          </w:pPr>
          <w:hyperlink w:anchor="_Toc62221546"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_Toc62221546 \h </w:instrText>
            </w:r>
            <w:r>
              <w:rPr>
                <w:noProof/>
                <w:webHidden/>
              </w:rPr>
            </w:r>
            <w:r>
              <w:rPr>
                <w:noProof/>
                <w:webHidden/>
              </w:rPr>
              <w:fldChar w:fldCharType="separate"/>
            </w:r>
            <w:r>
              <w:rPr>
                <w:noProof/>
                <w:webHidden/>
              </w:rPr>
              <w:t>80</w:t>
            </w:r>
            <w:r>
              <w:rPr>
                <w:noProof/>
                <w:webHidden/>
              </w:rPr>
              <w:fldChar w:fldCharType="end"/>
            </w:r>
          </w:hyperlink>
        </w:p>
        <w:p w14:paraId="44A7AD31" w14:textId="52C914BE" w:rsidR="00500FE4" w:rsidRDefault="00500FE4">
          <w:pPr>
            <w:pStyle w:val="TOC5"/>
            <w:tabs>
              <w:tab w:val="right" w:pos="9742"/>
            </w:tabs>
            <w:rPr>
              <w:rFonts w:asciiTheme="minorHAnsi" w:eastAsiaTheme="minorEastAsia" w:hAnsiTheme="minorHAnsi" w:cstheme="minorBidi"/>
              <w:noProof/>
              <w:lang w:val="en-MY" w:eastAsia="zh-CN"/>
            </w:rPr>
          </w:pPr>
          <w:hyperlink w:anchor="_Toc62221547"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_Toc62221547 \h </w:instrText>
            </w:r>
            <w:r>
              <w:rPr>
                <w:noProof/>
                <w:webHidden/>
              </w:rPr>
            </w:r>
            <w:r>
              <w:rPr>
                <w:noProof/>
                <w:webHidden/>
              </w:rPr>
              <w:fldChar w:fldCharType="separate"/>
            </w:r>
            <w:r>
              <w:rPr>
                <w:noProof/>
                <w:webHidden/>
              </w:rPr>
              <w:t>81</w:t>
            </w:r>
            <w:r>
              <w:rPr>
                <w:noProof/>
                <w:webHidden/>
              </w:rPr>
              <w:fldChar w:fldCharType="end"/>
            </w:r>
          </w:hyperlink>
        </w:p>
        <w:p w14:paraId="6FAC0086" w14:textId="1D7EF1C3" w:rsidR="00500FE4" w:rsidRDefault="00500FE4">
          <w:pPr>
            <w:pStyle w:val="TOC5"/>
            <w:tabs>
              <w:tab w:val="right" w:pos="9742"/>
            </w:tabs>
            <w:rPr>
              <w:rFonts w:asciiTheme="minorHAnsi" w:eastAsiaTheme="minorEastAsia" w:hAnsiTheme="minorHAnsi" w:cstheme="minorBidi"/>
              <w:noProof/>
              <w:lang w:val="en-MY" w:eastAsia="zh-CN"/>
            </w:rPr>
          </w:pPr>
          <w:hyperlink w:anchor="_Toc62221548"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_Toc62221548 \h </w:instrText>
            </w:r>
            <w:r>
              <w:rPr>
                <w:noProof/>
                <w:webHidden/>
              </w:rPr>
            </w:r>
            <w:r>
              <w:rPr>
                <w:noProof/>
                <w:webHidden/>
              </w:rPr>
              <w:fldChar w:fldCharType="separate"/>
            </w:r>
            <w:r>
              <w:rPr>
                <w:noProof/>
                <w:webHidden/>
              </w:rPr>
              <w:t>81</w:t>
            </w:r>
            <w:r>
              <w:rPr>
                <w:noProof/>
                <w:webHidden/>
              </w:rPr>
              <w:fldChar w:fldCharType="end"/>
            </w:r>
          </w:hyperlink>
        </w:p>
        <w:p w14:paraId="349CF8B6" w14:textId="64CC0ABC" w:rsidR="00500FE4" w:rsidRDefault="00500FE4">
          <w:pPr>
            <w:pStyle w:val="TOC5"/>
            <w:tabs>
              <w:tab w:val="right" w:pos="9742"/>
            </w:tabs>
            <w:rPr>
              <w:rFonts w:asciiTheme="minorHAnsi" w:eastAsiaTheme="minorEastAsia" w:hAnsiTheme="minorHAnsi" w:cstheme="minorBidi"/>
              <w:noProof/>
              <w:lang w:val="en-MY" w:eastAsia="zh-CN"/>
            </w:rPr>
          </w:pPr>
          <w:hyperlink w:anchor="_Toc62221549"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_Toc62221549 \h </w:instrText>
            </w:r>
            <w:r>
              <w:rPr>
                <w:noProof/>
                <w:webHidden/>
              </w:rPr>
            </w:r>
            <w:r>
              <w:rPr>
                <w:noProof/>
                <w:webHidden/>
              </w:rPr>
              <w:fldChar w:fldCharType="separate"/>
            </w:r>
            <w:r>
              <w:rPr>
                <w:noProof/>
                <w:webHidden/>
              </w:rPr>
              <w:t>81</w:t>
            </w:r>
            <w:r>
              <w:rPr>
                <w:noProof/>
                <w:webHidden/>
              </w:rPr>
              <w:fldChar w:fldCharType="end"/>
            </w:r>
          </w:hyperlink>
        </w:p>
        <w:p w14:paraId="04FE247B" w14:textId="1DE27A4E" w:rsidR="00500FE4" w:rsidRDefault="00500FE4">
          <w:pPr>
            <w:pStyle w:val="TOC5"/>
            <w:tabs>
              <w:tab w:val="right" w:pos="9742"/>
            </w:tabs>
            <w:rPr>
              <w:rFonts w:asciiTheme="minorHAnsi" w:eastAsiaTheme="minorEastAsia" w:hAnsiTheme="minorHAnsi" w:cstheme="minorBidi"/>
              <w:noProof/>
              <w:lang w:val="en-MY" w:eastAsia="zh-CN"/>
            </w:rPr>
          </w:pPr>
          <w:hyperlink w:anchor="_Toc62221550"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_Toc62221550 \h </w:instrText>
            </w:r>
            <w:r>
              <w:rPr>
                <w:noProof/>
                <w:webHidden/>
              </w:rPr>
            </w:r>
            <w:r>
              <w:rPr>
                <w:noProof/>
                <w:webHidden/>
              </w:rPr>
              <w:fldChar w:fldCharType="separate"/>
            </w:r>
            <w:r>
              <w:rPr>
                <w:noProof/>
                <w:webHidden/>
              </w:rPr>
              <w:t>81</w:t>
            </w:r>
            <w:r>
              <w:rPr>
                <w:noProof/>
                <w:webHidden/>
              </w:rPr>
              <w:fldChar w:fldCharType="end"/>
            </w:r>
          </w:hyperlink>
        </w:p>
        <w:p w14:paraId="24CA254D" w14:textId="10735613" w:rsidR="00500FE4" w:rsidRDefault="00500FE4">
          <w:pPr>
            <w:pStyle w:val="TOC5"/>
            <w:tabs>
              <w:tab w:val="right" w:pos="9742"/>
            </w:tabs>
            <w:rPr>
              <w:rFonts w:asciiTheme="minorHAnsi" w:eastAsiaTheme="minorEastAsia" w:hAnsiTheme="minorHAnsi" w:cstheme="minorBidi"/>
              <w:noProof/>
              <w:lang w:val="en-MY" w:eastAsia="zh-CN"/>
            </w:rPr>
          </w:pPr>
          <w:hyperlink w:anchor="_Toc62221551" w:history="1">
            <w:r w:rsidRPr="00031C90">
              <w:rPr>
                <w:rStyle w:val="Hyperlink"/>
                <w:noProof/>
              </w:rPr>
              <w:t>Enhancing NDC</w:t>
            </w:r>
            <w:r>
              <w:rPr>
                <w:noProof/>
                <w:webHidden/>
              </w:rPr>
              <w:tab/>
            </w:r>
            <w:r>
              <w:rPr>
                <w:noProof/>
                <w:webHidden/>
              </w:rPr>
              <w:fldChar w:fldCharType="begin"/>
            </w:r>
            <w:r>
              <w:rPr>
                <w:noProof/>
                <w:webHidden/>
              </w:rPr>
              <w:instrText xml:space="preserve"> PAGEREF _Toc62221551 \h </w:instrText>
            </w:r>
            <w:r>
              <w:rPr>
                <w:noProof/>
                <w:webHidden/>
              </w:rPr>
            </w:r>
            <w:r>
              <w:rPr>
                <w:noProof/>
                <w:webHidden/>
              </w:rPr>
              <w:fldChar w:fldCharType="separate"/>
            </w:r>
            <w:r>
              <w:rPr>
                <w:noProof/>
                <w:webHidden/>
              </w:rPr>
              <w:t>82</w:t>
            </w:r>
            <w:r>
              <w:rPr>
                <w:noProof/>
                <w:webHidden/>
              </w:rPr>
              <w:fldChar w:fldCharType="end"/>
            </w:r>
          </w:hyperlink>
        </w:p>
        <w:p w14:paraId="7A05D1A9" w14:textId="23FC4D6A" w:rsidR="00500FE4" w:rsidRDefault="00500FE4">
          <w:pPr>
            <w:pStyle w:val="TOC5"/>
            <w:tabs>
              <w:tab w:val="right" w:pos="9742"/>
            </w:tabs>
            <w:rPr>
              <w:rFonts w:asciiTheme="minorHAnsi" w:eastAsiaTheme="minorEastAsia" w:hAnsiTheme="minorHAnsi" w:cstheme="minorBidi"/>
              <w:noProof/>
              <w:lang w:val="en-MY" w:eastAsia="zh-CN"/>
            </w:rPr>
          </w:pPr>
          <w:hyperlink w:anchor="_Toc62221552" w:history="1">
            <w:r w:rsidRPr="00031C90">
              <w:rPr>
                <w:rStyle w:val="Hyperlink"/>
                <w:noProof/>
              </w:rPr>
              <w:t>Investment required: IDR 3,309 trillion (US$ 232 billion)</w:t>
            </w:r>
            <w:r>
              <w:rPr>
                <w:noProof/>
                <w:webHidden/>
              </w:rPr>
              <w:tab/>
            </w:r>
            <w:r>
              <w:rPr>
                <w:noProof/>
                <w:webHidden/>
              </w:rPr>
              <w:fldChar w:fldCharType="begin"/>
            </w:r>
            <w:r>
              <w:rPr>
                <w:noProof/>
                <w:webHidden/>
              </w:rPr>
              <w:instrText xml:space="preserve"> PAGEREF _Toc62221552 \h </w:instrText>
            </w:r>
            <w:r>
              <w:rPr>
                <w:noProof/>
                <w:webHidden/>
              </w:rPr>
            </w:r>
            <w:r>
              <w:rPr>
                <w:noProof/>
                <w:webHidden/>
              </w:rPr>
              <w:fldChar w:fldCharType="separate"/>
            </w:r>
            <w:r>
              <w:rPr>
                <w:noProof/>
                <w:webHidden/>
              </w:rPr>
              <w:t>82</w:t>
            </w:r>
            <w:r>
              <w:rPr>
                <w:noProof/>
                <w:webHidden/>
              </w:rPr>
              <w:fldChar w:fldCharType="end"/>
            </w:r>
          </w:hyperlink>
        </w:p>
        <w:p w14:paraId="4C4946AA" w14:textId="6BB093E3" w:rsidR="00500FE4" w:rsidRDefault="00500FE4">
          <w:pPr>
            <w:pStyle w:val="TOC5"/>
            <w:tabs>
              <w:tab w:val="right" w:pos="9742"/>
            </w:tabs>
            <w:rPr>
              <w:rFonts w:asciiTheme="minorHAnsi" w:eastAsiaTheme="minorEastAsia" w:hAnsiTheme="minorHAnsi" w:cstheme="minorBidi"/>
              <w:noProof/>
              <w:lang w:val="en-MY" w:eastAsia="zh-CN"/>
            </w:rPr>
          </w:pPr>
          <w:hyperlink w:anchor="_Toc62221553"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_Toc62221553 \h </w:instrText>
            </w:r>
            <w:r>
              <w:rPr>
                <w:noProof/>
                <w:webHidden/>
              </w:rPr>
            </w:r>
            <w:r>
              <w:rPr>
                <w:noProof/>
                <w:webHidden/>
              </w:rPr>
              <w:fldChar w:fldCharType="separate"/>
            </w:r>
            <w:r>
              <w:rPr>
                <w:noProof/>
                <w:webHidden/>
              </w:rPr>
              <w:t>82</w:t>
            </w:r>
            <w:r>
              <w:rPr>
                <w:noProof/>
                <w:webHidden/>
              </w:rPr>
              <w:fldChar w:fldCharType="end"/>
            </w:r>
          </w:hyperlink>
        </w:p>
        <w:p w14:paraId="3228D4C8" w14:textId="22876956" w:rsidR="00500FE4" w:rsidRDefault="00500FE4">
          <w:pPr>
            <w:pStyle w:val="TOC5"/>
            <w:tabs>
              <w:tab w:val="right" w:pos="9742"/>
            </w:tabs>
            <w:rPr>
              <w:rFonts w:asciiTheme="minorHAnsi" w:eastAsiaTheme="minorEastAsia" w:hAnsiTheme="minorHAnsi" w:cstheme="minorBidi"/>
              <w:noProof/>
              <w:lang w:val="en-MY" w:eastAsia="zh-CN"/>
            </w:rPr>
          </w:pPr>
          <w:hyperlink w:anchor="_Toc62221554" w:history="1">
            <w:r w:rsidRPr="00031C90">
              <w:rPr>
                <w:rStyle w:val="Hyperlink"/>
                <w:noProof/>
              </w:rPr>
              <w:t>Coal lock-in</w:t>
            </w:r>
            <w:r>
              <w:rPr>
                <w:noProof/>
                <w:webHidden/>
              </w:rPr>
              <w:tab/>
            </w:r>
            <w:r>
              <w:rPr>
                <w:noProof/>
                <w:webHidden/>
              </w:rPr>
              <w:fldChar w:fldCharType="begin"/>
            </w:r>
            <w:r>
              <w:rPr>
                <w:noProof/>
                <w:webHidden/>
              </w:rPr>
              <w:instrText xml:space="preserve"> PAGEREF _Toc62221554 \h </w:instrText>
            </w:r>
            <w:r>
              <w:rPr>
                <w:noProof/>
                <w:webHidden/>
              </w:rPr>
            </w:r>
            <w:r>
              <w:rPr>
                <w:noProof/>
                <w:webHidden/>
              </w:rPr>
              <w:fldChar w:fldCharType="separate"/>
            </w:r>
            <w:r>
              <w:rPr>
                <w:noProof/>
                <w:webHidden/>
              </w:rPr>
              <w:t>83</w:t>
            </w:r>
            <w:r>
              <w:rPr>
                <w:noProof/>
                <w:webHidden/>
              </w:rPr>
              <w:fldChar w:fldCharType="end"/>
            </w:r>
          </w:hyperlink>
        </w:p>
        <w:p w14:paraId="6377BB25" w14:textId="465A23BD" w:rsidR="00500FE4" w:rsidRDefault="00500FE4">
          <w:pPr>
            <w:pStyle w:val="TOC5"/>
            <w:tabs>
              <w:tab w:val="right" w:pos="9742"/>
            </w:tabs>
            <w:rPr>
              <w:rFonts w:asciiTheme="minorHAnsi" w:eastAsiaTheme="minorEastAsia" w:hAnsiTheme="minorHAnsi" w:cstheme="minorBidi"/>
              <w:noProof/>
              <w:lang w:val="en-MY" w:eastAsia="zh-CN"/>
            </w:rPr>
          </w:pPr>
          <w:hyperlink w:anchor="_Toc62221555" w:history="1">
            <w:r w:rsidRPr="00031C90">
              <w:rPr>
                <w:rStyle w:val="Hyperlink"/>
                <w:noProof/>
              </w:rPr>
              <w:t>Fossil fuel subsidy reform</w:t>
            </w:r>
            <w:r>
              <w:rPr>
                <w:noProof/>
                <w:webHidden/>
              </w:rPr>
              <w:tab/>
            </w:r>
            <w:r>
              <w:rPr>
                <w:noProof/>
                <w:webHidden/>
              </w:rPr>
              <w:fldChar w:fldCharType="begin"/>
            </w:r>
            <w:r>
              <w:rPr>
                <w:noProof/>
                <w:webHidden/>
              </w:rPr>
              <w:instrText xml:space="preserve"> PAGEREF _Toc62221555 \h </w:instrText>
            </w:r>
            <w:r>
              <w:rPr>
                <w:noProof/>
                <w:webHidden/>
              </w:rPr>
            </w:r>
            <w:r>
              <w:rPr>
                <w:noProof/>
                <w:webHidden/>
              </w:rPr>
              <w:fldChar w:fldCharType="separate"/>
            </w:r>
            <w:r>
              <w:rPr>
                <w:noProof/>
                <w:webHidden/>
              </w:rPr>
              <w:t>83</w:t>
            </w:r>
            <w:r>
              <w:rPr>
                <w:noProof/>
                <w:webHidden/>
              </w:rPr>
              <w:fldChar w:fldCharType="end"/>
            </w:r>
          </w:hyperlink>
        </w:p>
        <w:p w14:paraId="03536704" w14:textId="29209371" w:rsidR="00500FE4" w:rsidRDefault="00500FE4">
          <w:pPr>
            <w:pStyle w:val="TOC5"/>
            <w:tabs>
              <w:tab w:val="right" w:pos="9742"/>
            </w:tabs>
            <w:rPr>
              <w:rFonts w:asciiTheme="minorHAnsi" w:eastAsiaTheme="minorEastAsia" w:hAnsiTheme="minorHAnsi" w:cstheme="minorBidi"/>
              <w:noProof/>
              <w:lang w:val="en-MY" w:eastAsia="zh-CN"/>
            </w:rPr>
          </w:pPr>
          <w:hyperlink w:anchor="_Toc62221556" w:history="1">
            <w:r w:rsidRPr="00031C90">
              <w:rPr>
                <w:rStyle w:val="Hyperlink"/>
                <w:noProof/>
              </w:rPr>
              <w:t>Energy Balance</w:t>
            </w:r>
            <w:r>
              <w:rPr>
                <w:noProof/>
                <w:webHidden/>
              </w:rPr>
              <w:tab/>
            </w:r>
            <w:r>
              <w:rPr>
                <w:noProof/>
                <w:webHidden/>
              </w:rPr>
              <w:fldChar w:fldCharType="begin"/>
            </w:r>
            <w:r>
              <w:rPr>
                <w:noProof/>
                <w:webHidden/>
              </w:rPr>
              <w:instrText xml:space="preserve"> PAGEREF _Toc62221556 \h </w:instrText>
            </w:r>
            <w:r>
              <w:rPr>
                <w:noProof/>
                <w:webHidden/>
              </w:rPr>
            </w:r>
            <w:r>
              <w:rPr>
                <w:noProof/>
                <w:webHidden/>
              </w:rPr>
              <w:fldChar w:fldCharType="separate"/>
            </w:r>
            <w:r>
              <w:rPr>
                <w:noProof/>
                <w:webHidden/>
              </w:rPr>
              <w:t>83</w:t>
            </w:r>
            <w:r>
              <w:rPr>
                <w:noProof/>
                <w:webHidden/>
              </w:rPr>
              <w:fldChar w:fldCharType="end"/>
            </w:r>
          </w:hyperlink>
        </w:p>
        <w:p w14:paraId="31A3BF7F" w14:textId="2FD553B5" w:rsidR="00500FE4" w:rsidRDefault="00500FE4">
          <w:pPr>
            <w:pStyle w:val="TOC4"/>
            <w:tabs>
              <w:tab w:val="right" w:pos="9742"/>
            </w:tabs>
            <w:rPr>
              <w:rFonts w:asciiTheme="minorHAnsi" w:eastAsiaTheme="minorEastAsia" w:hAnsiTheme="minorHAnsi" w:cstheme="minorBidi"/>
              <w:noProof/>
              <w:lang w:val="en-MY" w:eastAsia="zh-CN"/>
            </w:rPr>
          </w:pPr>
          <w:hyperlink w:anchor="_Toc62221557" w:history="1">
            <w:r w:rsidRPr="00031C90">
              <w:rPr>
                <w:rStyle w:val="Hyperlink"/>
                <w:noProof/>
              </w:rPr>
              <w:t>Enhancing NDC with phasing out NG and fossil fuel subsidy</w:t>
            </w:r>
            <w:r>
              <w:rPr>
                <w:noProof/>
                <w:webHidden/>
              </w:rPr>
              <w:tab/>
            </w:r>
            <w:r>
              <w:rPr>
                <w:noProof/>
                <w:webHidden/>
              </w:rPr>
              <w:fldChar w:fldCharType="begin"/>
            </w:r>
            <w:r>
              <w:rPr>
                <w:noProof/>
                <w:webHidden/>
              </w:rPr>
              <w:instrText xml:space="preserve"> PAGEREF _Toc62221557 \h </w:instrText>
            </w:r>
            <w:r>
              <w:rPr>
                <w:noProof/>
                <w:webHidden/>
              </w:rPr>
            </w:r>
            <w:r>
              <w:rPr>
                <w:noProof/>
                <w:webHidden/>
              </w:rPr>
              <w:fldChar w:fldCharType="separate"/>
            </w:r>
            <w:r>
              <w:rPr>
                <w:noProof/>
                <w:webHidden/>
              </w:rPr>
              <w:t>83</w:t>
            </w:r>
            <w:r>
              <w:rPr>
                <w:noProof/>
                <w:webHidden/>
              </w:rPr>
              <w:fldChar w:fldCharType="end"/>
            </w:r>
          </w:hyperlink>
        </w:p>
        <w:p w14:paraId="71F64A12" w14:textId="4DDFFA9C" w:rsidR="00500FE4" w:rsidRDefault="00500FE4">
          <w:pPr>
            <w:pStyle w:val="TOC5"/>
            <w:tabs>
              <w:tab w:val="right" w:pos="9742"/>
            </w:tabs>
            <w:rPr>
              <w:rFonts w:asciiTheme="minorHAnsi" w:eastAsiaTheme="minorEastAsia" w:hAnsiTheme="minorHAnsi" w:cstheme="minorBidi"/>
              <w:noProof/>
              <w:lang w:val="en-MY" w:eastAsia="zh-CN"/>
            </w:rPr>
          </w:pPr>
          <w:hyperlink w:anchor="_Toc62221558"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_Toc62221558 \h </w:instrText>
            </w:r>
            <w:r>
              <w:rPr>
                <w:noProof/>
                <w:webHidden/>
              </w:rPr>
            </w:r>
            <w:r>
              <w:rPr>
                <w:noProof/>
                <w:webHidden/>
              </w:rPr>
              <w:fldChar w:fldCharType="separate"/>
            </w:r>
            <w:r>
              <w:rPr>
                <w:noProof/>
                <w:webHidden/>
              </w:rPr>
              <w:t>83</w:t>
            </w:r>
            <w:r>
              <w:rPr>
                <w:noProof/>
                <w:webHidden/>
              </w:rPr>
              <w:fldChar w:fldCharType="end"/>
            </w:r>
          </w:hyperlink>
        </w:p>
        <w:p w14:paraId="10848AB4" w14:textId="796F3B4A" w:rsidR="00500FE4" w:rsidRDefault="00500FE4">
          <w:pPr>
            <w:pStyle w:val="TOC5"/>
            <w:tabs>
              <w:tab w:val="right" w:pos="9742"/>
            </w:tabs>
            <w:rPr>
              <w:rFonts w:asciiTheme="minorHAnsi" w:eastAsiaTheme="minorEastAsia" w:hAnsiTheme="minorHAnsi" w:cstheme="minorBidi"/>
              <w:noProof/>
              <w:lang w:val="en-MY" w:eastAsia="zh-CN"/>
            </w:rPr>
          </w:pPr>
          <w:hyperlink w:anchor="_Toc62221559"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_Toc62221559 \h </w:instrText>
            </w:r>
            <w:r>
              <w:rPr>
                <w:noProof/>
                <w:webHidden/>
              </w:rPr>
            </w:r>
            <w:r>
              <w:rPr>
                <w:noProof/>
                <w:webHidden/>
              </w:rPr>
              <w:fldChar w:fldCharType="separate"/>
            </w:r>
            <w:r>
              <w:rPr>
                <w:noProof/>
                <w:webHidden/>
              </w:rPr>
              <w:t>83</w:t>
            </w:r>
            <w:r>
              <w:rPr>
                <w:noProof/>
                <w:webHidden/>
              </w:rPr>
              <w:fldChar w:fldCharType="end"/>
            </w:r>
          </w:hyperlink>
        </w:p>
        <w:p w14:paraId="47C9E01A" w14:textId="3B32C281" w:rsidR="00500FE4" w:rsidRDefault="00500FE4">
          <w:pPr>
            <w:pStyle w:val="TOC5"/>
            <w:tabs>
              <w:tab w:val="right" w:pos="9742"/>
            </w:tabs>
            <w:rPr>
              <w:rFonts w:asciiTheme="minorHAnsi" w:eastAsiaTheme="minorEastAsia" w:hAnsiTheme="minorHAnsi" w:cstheme="minorBidi"/>
              <w:noProof/>
              <w:lang w:val="en-MY" w:eastAsia="zh-CN"/>
            </w:rPr>
          </w:pPr>
          <w:hyperlink w:anchor="_Toc62221560"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_Toc62221560 \h </w:instrText>
            </w:r>
            <w:r>
              <w:rPr>
                <w:noProof/>
                <w:webHidden/>
              </w:rPr>
            </w:r>
            <w:r>
              <w:rPr>
                <w:noProof/>
                <w:webHidden/>
              </w:rPr>
              <w:fldChar w:fldCharType="separate"/>
            </w:r>
            <w:r>
              <w:rPr>
                <w:noProof/>
                <w:webHidden/>
              </w:rPr>
              <w:t>83</w:t>
            </w:r>
            <w:r>
              <w:rPr>
                <w:noProof/>
                <w:webHidden/>
              </w:rPr>
              <w:fldChar w:fldCharType="end"/>
            </w:r>
          </w:hyperlink>
        </w:p>
        <w:p w14:paraId="26A70E94" w14:textId="379A27EA" w:rsidR="00500FE4" w:rsidRDefault="00500FE4">
          <w:pPr>
            <w:pStyle w:val="TOC5"/>
            <w:tabs>
              <w:tab w:val="right" w:pos="9742"/>
            </w:tabs>
            <w:rPr>
              <w:rFonts w:asciiTheme="minorHAnsi" w:eastAsiaTheme="minorEastAsia" w:hAnsiTheme="minorHAnsi" w:cstheme="minorBidi"/>
              <w:noProof/>
              <w:lang w:val="en-MY" w:eastAsia="zh-CN"/>
            </w:rPr>
          </w:pPr>
          <w:hyperlink w:anchor="_Toc62221561"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_Toc62221561 \h </w:instrText>
            </w:r>
            <w:r>
              <w:rPr>
                <w:noProof/>
                <w:webHidden/>
              </w:rPr>
            </w:r>
            <w:r>
              <w:rPr>
                <w:noProof/>
                <w:webHidden/>
              </w:rPr>
              <w:fldChar w:fldCharType="separate"/>
            </w:r>
            <w:r>
              <w:rPr>
                <w:noProof/>
                <w:webHidden/>
              </w:rPr>
              <w:t>84</w:t>
            </w:r>
            <w:r>
              <w:rPr>
                <w:noProof/>
                <w:webHidden/>
              </w:rPr>
              <w:fldChar w:fldCharType="end"/>
            </w:r>
          </w:hyperlink>
        </w:p>
        <w:p w14:paraId="71E70207" w14:textId="4727066D" w:rsidR="00500FE4" w:rsidRDefault="00500FE4">
          <w:pPr>
            <w:pStyle w:val="TOC5"/>
            <w:tabs>
              <w:tab w:val="right" w:pos="9742"/>
            </w:tabs>
            <w:rPr>
              <w:rFonts w:asciiTheme="minorHAnsi" w:eastAsiaTheme="minorEastAsia" w:hAnsiTheme="minorHAnsi" w:cstheme="minorBidi"/>
              <w:noProof/>
              <w:lang w:val="en-MY" w:eastAsia="zh-CN"/>
            </w:rPr>
          </w:pPr>
          <w:hyperlink w:anchor="_Toc62221562"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_Toc62221562 \h </w:instrText>
            </w:r>
            <w:r>
              <w:rPr>
                <w:noProof/>
                <w:webHidden/>
              </w:rPr>
            </w:r>
            <w:r>
              <w:rPr>
                <w:noProof/>
                <w:webHidden/>
              </w:rPr>
              <w:fldChar w:fldCharType="separate"/>
            </w:r>
            <w:r>
              <w:rPr>
                <w:noProof/>
                <w:webHidden/>
              </w:rPr>
              <w:t>84</w:t>
            </w:r>
            <w:r>
              <w:rPr>
                <w:noProof/>
                <w:webHidden/>
              </w:rPr>
              <w:fldChar w:fldCharType="end"/>
            </w:r>
          </w:hyperlink>
        </w:p>
        <w:p w14:paraId="4645C493" w14:textId="521859DD" w:rsidR="00500FE4" w:rsidRDefault="00500FE4">
          <w:pPr>
            <w:pStyle w:val="TOC5"/>
            <w:tabs>
              <w:tab w:val="right" w:pos="9742"/>
            </w:tabs>
            <w:rPr>
              <w:rFonts w:asciiTheme="minorHAnsi" w:eastAsiaTheme="minorEastAsia" w:hAnsiTheme="minorHAnsi" w:cstheme="minorBidi"/>
              <w:noProof/>
              <w:lang w:val="en-MY" w:eastAsia="zh-CN"/>
            </w:rPr>
          </w:pPr>
          <w:hyperlink w:anchor="_Toc62221563" w:history="1">
            <w:r w:rsidRPr="00031C90">
              <w:rPr>
                <w:rStyle w:val="Hyperlink"/>
                <w:noProof/>
              </w:rPr>
              <w:t>Enhancing NDC</w:t>
            </w:r>
            <w:r>
              <w:rPr>
                <w:noProof/>
                <w:webHidden/>
              </w:rPr>
              <w:tab/>
            </w:r>
            <w:r>
              <w:rPr>
                <w:noProof/>
                <w:webHidden/>
              </w:rPr>
              <w:fldChar w:fldCharType="begin"/>
            </w:r>
            <w:r>
              <w:rPr>
                <w:noProof/>
                <w:webHidden/>
              </w:rPr>
              <w:instrText xml:space="preserve"> PAGEREF _Toc62221563 \h </w:instrText>
            </w:r>
            <w:r>
              <w:rPr>
                <w:noProof/>
                <w:webHidden/>
              </w:rPr>
            </w:r>
            <w:r>
              <w:rPr>
                <w:noProof/>
                <w:webHidden/>
              </w:rPr>
              <w:fldChar w:fldCharType="separate"/>
            </w:r>
            <w:r>
              <w:rPr>
                <w:noProof/>
                <w:webHidden/>
              </w:rPr>
              <w:t>85</w:t>
            </w:r>
            <w:r>
              <w:rPr>
                <w:noProof/>
                <w:webHidden/>
              </w:rPr>
              <w:fldChar w:fldCharType="end"/>
            </w:r>
          </w:hyperlink>
        </w:p>
        <w:p w14:paraId="7D9302F5" w14:textId="3573E048" w:rsidR="00500FE4" w:rsidRDefault="00500FE4">
          <w:pPr>
            <w:pStyle w:val="TOC5"/>
            <w:tabs>
              <w:tab w:val="right" w:pos="9742"/>
            </w:tabs>
            <w:rPr>
              <w:rFonts w:asciiTheme="minorHAnsi" w:eastAsiaTheme="minorEastAsia" w:hAnsiTheme="minorHAnsi" w:cstheme="minorBidi"/>
              <w:noProof/>
              <w:lang w:val="en-MY" w:eastAsia="zh-CN"/>
            </w:rPr>
          </w:pPr>
          <w:hyperlink w:anchor="_Toc62221564" w:history="1">
            <w:r w:rsidRPr="00031C90">
              <w:rPr>
                <w:rStyle w:val="Hyperlink"/>
                <w:noProof/>
              </w:rPr>
              <w:t>Investment required: IDR 3,309 trillion (US$ 233 billion).</w:t>
            </w:r>
            <w:r>
              <w:rPr>
                <w:noProof/>
                <w:webHidden/>
              </w:rPr>
              <w:tab/>
            </w:r>
            <w:r>
              <w:rPr>
                <w:noProof/>
                <w:webHidden/>
              </w:rPr>
              <w:fldChar w:fldCharType="begin"/>
            </w:r>
            <w:r>
              <w:rPr>
                <w:noProof/>
                <w:webHidden/>
              </w:rPr>
              <w:instrText xml:space="preserve"> PAGEREF _Toc62221564 \h </w:instrText>
            </w:r>
            <w:r>
              <w:rPr>
                <w:noProof/>
                <w:webHidden/>
              </w:rPr>
            </w:r>
            <w:r>
              <w:rPr>
                <w:noProof/>
                <w:webHidden/>
              </w:rPr>
              <w:fldChar w:fldCharType="separate"/>
            </w:r>
            <w:r>
              <w:rPr>
                <w:noProof/>
                <w:webHidden/>
              </w:rPr>
              <w:t>85</w:t>
            </w:r>
            <w:r>
              <w:rPr>
                <w:noProof/>
                <w:webHidden/>
              </w:rPr>
              <w:fldChar w:fldCharType="end"/>
            </w:r>
          </w:hyperlink>
        </w:p>
        <w:p w14:paraId="0BE55CC1" w14:textId="396ABD47" w:rsidR="00500FE4" w:rsidRDefault="00500FE4">
          <w:pPr>
            <w:pStyle w:val="TOC5"/>
            <w:tabs>
              <w:tab w:val="right" w:pos="9742"/>
            </w:tabs>
            <w:rPr>
              <w:rFonts w:asciiTheme="minorHAnsi" w:eastAsiaTheme="minorEastAsia" w:hAnsiTheme="minorHAnsi" w:cstheme="minorBidi"/>
              <w:noProof/>
              <w:lang w:val="en-MY" w:eastAsia="zh-CN"/>
            </w:rPr>
          </w:pPr>
          <w:hyperlink w:anchor="_Toc62221565"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_Toc62221565 \h </w:instrText>
            </w:r>
            <w:r>
              <w:rPr>
                <w:noProof/>
                <w:webHidden/>
              </w:rPr>
            </w:r>
            <w:r>
              <w:rPr>
                <w:noProof/>
                <w:webHidden/>
              </w:rPr>
              <w:fldChar w:fldCharType="separate"/>
            </w:r>
            <w:r>
              <w:rPr>
                <w:noProof/>
                <w:webHidden/>
              </w:rPr>
              <w:t>85</w:t>
            </w:r>
            <w:r>
              <w:rPr>
                <w:noProof/>
                <w:webHidden/>
              </w:rPr>
              <w:fldChar w:fldCharType="end"/>
            </w:r>
          </w:hyperlink>
        </w:p>
        <w:p w14:paraId="79241361" w14:textId="39852360" w:rsidR="00500FE4" w:rsidRDefault="00500FE4">
          <w:pPr>
            <w:pStyle w:val="TOC5"/>
            <w:tabs>
              <w:tab w:val="right" w:pos="9742"/>
            </w:tabs>
            <w:rPr>
              <w:rFonts w:asciiTheme="minorHAnsi" w:eastAsiaTheme="minorEastAsia" w:hAnsiTheme="minorHAnsi" w:cstheme="minorBidi"/>
              <w:noProof/>
              <w:lang w:val="en-MY" w:eastAsia="zh-CN"/>
            </w:rPr>
          </w:pPr>
          <w:hyperlink w:anchor="_Toc62221566" w:history="1">
            <w:r w:rsidRPr="00031C90">
              <w:rPr>
                <w:rStyle w:val="Hyperlink"/>
                <w:noProof/>
              </w:rPr>
              <w:t>Fossil lock-in</w:t>
            </w:r>
            <w:r>
              <w:rPr>
                <w:noProof/>
                <w:webHidden/>
              </w:rPr>
              <w:tab/>
            </w:r>
            <w:r>
              <w:rPr>
                <w:noProof/>
                <w:webHidden/>
              </w:rPr>
              <w:fldChar w:fldCharType="begin"/>
            </w:r>
            <w:r>
              <w:rPr>
                <w:noProof/>
                <w:webHidden/>
              </w:rPr>
              <w:instrText xml:space="preserve"> PAGEREF _Toc62221566 \h </w:instrText>
            </w:r>
            <w:r>
              <w:rPr>
                <w:noProof/>
                <w:webHidden/>
              </w:rPr>
            </w:r>
            <w:r>
              <w:rPr>
                <w:noProof/>
                <w:webHidden/>
              </w:rPr>
              <w:fldChar w:fldCharType="separate"/>
            </w:r>
            <w:r>
              <w:rPr>
                <w:noProof/>
                <w:webHidden/>
              </w:rPr>
              <w:t>85</w:t>
            </w:r>
            <w:r>
              <w:rPr>
                <w:noProof/>
                <w:webHidden/>
              </w:rPr>
              <w:fldChar w:fldCharType="end"/>
            </w:r>
          </w:hyperlink>
        </w:p>
        <w:p w14:paraId="78086413" w14:textId="27D0CA74" w:rsidR="00500FE4" w:rsidRDefault="00500FE4">
          <w:pPr>
            <w:pStyle w:val="TOC5"/>
            <w:tabs>
              <w:tab w:val="right" w:pos="9742"/>
            </w:tabs>
            <w:rPr>
              <w:rFonts w:asciiTheme="minorHAnsi" w:eastAsiaTheme="minorEastAsia" w:hAnsiTheme="minorHAnsi" w:cstheme="minorBidi"/>
              <w:noProof/>
              <w:lang w:val="en-MY" w:eastAsia="zh-CN"/>
            </w:rPr>
          </w:pPr>
          <w:hyperlink w:anchor="_Toc62221567" w:history="1">
            <w:r w:rsidRPr="00031C90">
              <w:rPr>
                <w:rStyle w:val="Hyperlink"/>
                <w:noProof/>
              </w:rPr>
              <w:t>Fossil fuel subsidy reform</w:t>
            </w:r>
            <w:r>
              <w:rPr>
                <w:noProof/>
                <w:webHidden/>
              </w:rPr>
              <w:tab/>
            </w:r>
            <w:r>
              <w:rPr>
                <w:noProof/>
                <w:webHidden/>
              </w:rPr>
              <w:fldChar w:fldCharType="begin"/>
            </w:r>
            <w:r>
              <w:rPr>
                <w:noProof/>
                <w:webHidden/>
              </w:rPr>
              <w:instrText xml:space="preserve"> PAGEREF _Toc62221567 \h </w:instrText>
            </w:r>
            <w:r>
              <w:rPr>
                <w:noProof/>
                <w:webHidden/>
              </w:rPr>
            </w:r>
            <w:r>
              <w:rPr>
                <w:noProof/>
                <w:webHidden/>
              </w:rPr>
              <w:fldChar w:fldCharType="separate"/>
            </w:r>
            <w:r>
              <w:rPr>
                <w:noProof/>
                <w:webHidden/>
              </w:rPr>
              <w:t>86</w:t>
            </w:r>
            <w:r>
              <w:rPr>
                <w:noProof/>
                <w:webHidden/>
              </w:rPr>
              <w:fldChar w:fldCharType="end"/>
            </w:r>
          </w:hyperlink>
        </w:p>
        <w:p w14:paraId="74F42635" w14:textId="15F6FA9C" w:rsidR="00500FE4" w:rsidRDefault="00500FE4">
          <w:pPr>
            <w:pStyle w:val="TOC5"/>
            <w:tabs>
              <w:tab w:val="right" w:pos="9742"/>
            </w:tabs>
            <w:rPr>
              <w:rFonts w:asciiTheme="minorHAnsi" w:eastAsiaTheme="minorEastAsia" w:hAnsiTheme="minorHAnsi" w:cstheme="minorBidi"/>
              <w:noProof/>
              <w:lang w:val="en-MY" w:eastAsia="zh-CN"/>
            </w:rPr>
          </w:pPr>
          <w:hyperlink w:anchor="_Toc62221568" w:history="1">
            <w:r w:rsidRPr="00031C90">
              <w:rPr>
                <w:rStyle w:val="Hyperlink"/>
                <w:noProof/>
              </w:rPr>
              <w:t>Energy Balance</w:t>
            </w:r>
            <w:r>
              <w:rPr>
                <w:noProof/>
                <w:webHidden/>
              </w:rPr>
              <w:tab/>
            </w:r>
            <w:r>
              <w:rPr>
                <w:noProof/>
                <w:webHidden/>
              </w:rPr>
              <w:fldChar w:fldCharType="begin"/>
            </w:r>
            <w:r>
              <w:rPr>
                <w:noProof/>
                <w:webHidden/>
              </w:rPr>
              <w:instrText xml:space="preserve"> PAGEREF _Toc62221568 \h </w:instrText>
            </w:r>
            <w:r>
              <w:rPr>
                <w:noProof/>
                <w:webHidden/>
              </w:rPr>
            </w:r>
            <w:r>
              <w:rPr>
                <w:noProof/>
                <w:webHidden/>
              </w:rPr>
              <w:fldChar w:fldCharType="separate"/>
            </w:r>
            <w:r>
              <w:rPr>
                <w:noProof/>
                <w:webHidden/>
              </w:rPr>
              <w:t>86</w:t>
            </w:r>
            <w:r>
              <w:rPr>
                <w:noProof/>
                <w:webHidden/>
              </w:rPr>
              <w:fldChar w:fldCharType="end"/>
            </w:r>
          </w:hyperlink>
        </w:p>
        <w:p w14:paraId="556AC274" w14:textId="765F6155" w:rsidR="00500FE4" w:rsidRDefault="00500FE4">
          <w:pPr>
            <w:pStyle w:val="TOC4"/>
            <w:tabs>
              <w:tab w:val="right" w:pos="9742"/>
            </w:tabs>
            <w:rPr>
              <w:rFonts w:asciiTheme="minorHAnsi" w:eastAsiaTheme="minorEastAsia" w:hAnsiTheme="minorHAnsi" w:cstheme="minorBidi"/>
              <w:noProof/>
              <w:lang w:val="en-MY" w:eastAsia="zh-CN"/>
            </w:rPr>
          </w:pPr>
          <w:hyperlink w:anchor="_Toc62221569" w:history="1">
            <w:r w:rsidRPr="00031C90">
              <w:rPr>
                <w:rStyle w:val="Hyperlink"/>
                <w:noProof/>
              </w:rPr>
              <w:t>Enhancing NDC by decarbonizing power sector</w:t>
            </w:r>
            <w:r>
              <w:rPr>
                <w:noProof/>
                <w:webHidden/>
              </w:rPr>
              <w:tab/>
            </w:r>
            <w:r>
              <w:rPr>
                <w:noProof/>
                <w:webHidden/>
              </w:rPr>
              <w:fldChar w:fldCharType="begin"/>
            </w:r>
            <w:r>
              <w:rPr>
                <w:noProof/>
                <w:webHidden/>
              </w:rPr>
              <w:instrText xml:space="preserve"> PAGEREF _Toc62221569 \h </w:instrText>
            </w:r>
            <w:r>
              <w:rPr>
                <w:noProof/>
                <w:webHidden/>
              </w:rPr>
            </w:r>
            <w:r>
              <w:rPr>
                <w:noProof/>
                <w:webHidden/>
              </w:rPr>
              <w:fldChar w:fldCharType="separate"/>
            </w:r>
            <w:r>
              <w:rPr>
                <w:noProof/>
                <w:webHidden/>
              </w:rPr>
              <w:t>86</w:t>
            </w:r>
            <w:r>
              <w:rPr>
                <w:noProof/>
                <w:webHidden/>
              </w:rPr>
              <w:fldChar w:fldCharType="end"/>
            </w:r>
          </w:hyperlink>
        </w:p>
        <w:p w14:paraId="7BB2B813" w14:textId="3BB04516" w:rsidR="00500FE4" w:rsidRDefault="00500FE4">
          <w:pPr>
            <w:pStyle w:val="TOC5"/>
            <w:tabs>
              <w:tab w:val="right" w:pos="9742"/>
            </w:tabs>
            <w:rPr>
              <w:rFonts w:asciiTheme="minorHAnsi" w:eastAsiaTheme="minorEastAsia" w:hAnsiTheme="minorHAnsi" w:cstheme="minorBidi"/>
              <w:noProof/>
              <w:lang w:val="en-MY" w:eastAsia="zh-CN"/>
            </w:rPr>
          </w:pPr>
          <w:hyperlink w:anchor="_Toc62221570"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_Toc62221570 \h </w:instrText>
            </w:r>
            <w:r>
              <w:rPr>
                <w:noProof/>
                <w:webHidden/>
              </w:rPr>
            </w:r>
            <w:r>
              <w:rPr>
                <w:noProof/>
                <w:webHidden/>
              </w:rPr>
              <w:fldChar w:fldCharType="separate"/>
            </w:r>
            <w:r>
              <w:rPr>
                <w:noProof/>
                <w:webHidden/>
              </w:rPr>
              <w:t>86</w:t>
            </w:r>
            <w:r>
              <w:rPr>
                <w:noProof/>
                <w:webHidden/>
              </w:rPr>
              <w:fldChar w:fldCharType="end"/>
            </w:r>
          </w:hyperlink>
        </w:p>
        <w:p w14:paraId="124CAC3D" w14:textId="49DEC859" w:rsidR="00500FE4" w:rsidRDefault="00500FE4">
          <w:pPr>
            <w:pStyle w:val="TOC5"/>
            <w:tabs>
              <w:tab w:val="right" w:pos="9742"/>
            </w:tabs>
            <w:rPr>
              <w:rFonts w:asciiTheme="minorHAnsi" w:eastAsiaTheme="minorEastAsia" w:hAnsiTheme="minorHAnsi" w:cstheme="minorBidi"/>
              <w:noProof/>
              <w:lang w:val="en-MY" w:eastAsia="zh-CN"/>
            </w:rPr>
          </w:pPr>
          <w:hyperlink w:anchor="_Toc62221571"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_Toc62221571 \h </w:instrText>
            </w:r>
            <w:r>
              <w:rPr>
                <w:noProof/>
                <w:webHidden/>
              </w:rPr>
            </w:r>
            <w:r>
              <w:rPr>
                <w:noProof/>
                <w:webHidden/>
              </w:rPr>
              <w:fldChar w:fldCharType="separate"/>
            </w:r>
            <w:r>
              <w:rPr>
                <w:noProof/>
                <w:webHidden/>
              </w:rPr>
              <w:t>86</w:t>
            </w:r>
            <w:r>
              <w:rPr>
                <w:noProof/>
                <w:webHidden/>
              </w:rPr>
              <w:fldChar w:fldCharType="end"/>
            </w:r>
          </w:hyperlink>
        </w:p>
        <w:p w14:paraId="2278530A" w14:textId="67D6E82D" w:rsidR="00500FE4" w:rsidRDefault="00500FE4">
          <w:pPr>
            <w:pStyle w:val="TOC5"/>
            <w:tabs>
              <w:tab w:val="right" w:pos="9742"/>
            </w:tabs>
            <w:rPr>
              <w:rFonts w:asciiTheme="minorHAnsi" w:eastAsiaTheme="minorEastAsia" w:hAnsiTheme="minorHAnsi" w:cstheme="minorBidi"/>
              <w:noProof/>
              <w:lang w:val="en-MY" w:eastAsia="zh-CN"/>
            </w:rPr>
          </w:pPr>
          <w:hyperlink w:anchor="_Toc62221572"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_Toc62221572 \h </w:instrText>
            </w:r>
            <w:r>
              <w:rPr>
                <w:noProof/>
                <w:webHidden/>
              </w:rPr>
            </w:r>
            <w:r>
              <w:rPr>
                <w:noProof/>
                <w:webHidden/>
              </w:rPr>
              <w:fldChar w:fldCharType="separate"/>
            </w:r>
            <w:r>
              <w:rPr>
                <w:noProof/>
                <w:webHidden/>
              </w:rPr>
              <w:t>86</w:t>
            </w:r>
            <w:r>
              <w:rPr>
                <w:noProof/>
                <w:webHidden/>
              </w:rPr>
              <w:fldChar w:fldCharType="end"/>
            </w:r>
          </w:hyperlink>
        </w:p>
        <w:p w14:paraId="7D1666EB" w14:textId="2A90148E" w:rsidR="00500FE4" w:rsidRDefault="00500FE4">
          <w:pPr>
            <w:pStyle w:val="TOC5"/>
            <w:tabs>
              <w:tab w:val="right" w:pos="9742"/>
            </w:tabs>
            <w:rPr>
              <w:rFonts w:asciiTheme="minorHAnsi" w:eastAsiaTheme="minorEastAsia" w:hAnsiTheme="minorHAnsi" w:cstheme="minorBidi"/>
              <w:noProof/>
              <w:lang w:val="en-MY" w:eastAsia="zh-CN"/>
            </w:rPr>
          </w:pPr>
          <w:hyperlink w:anchor="_Toc62221573"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_Toc62221573 \h </w:instrText>
            </w:r>
            <w:r>
              <w:rPr>
                <w:noProof/>
                <w:webHidden/>
              </w:rPr>
            </w:r>
            <w:r>
              <w:rPr>
                <w:noProof/>
                <w:webHidden/>
              </w:rPr>
              <w:fldChar w:fldCharType="separate"/>
            </w:r>
            <w:r>
              <w:rPr>
                <w:noProof/>
                <w:webHidden/>
              </w:rPr>
              <w:t>87</w:t>
            </w:r>
            <w:r>
              <w:rPr>
                <w:noProof/>
                <w:webHidden/>
              </w:rPr>
              <w:fldChar w:fldCharType="end"/>
            </w:r>
          </w:hyperlink>
        </w:p>
        <w:p w14:paraId="5F773FBA" w14:textId="461C63CA" w:rsidR="00500FE4" w:rsidRDefault="00500FE4">
          <w:pPr>
            <w:pStyle w:val="TOC5"/>
            <w:tabs>
              <w:tab w:val="right" w:pos="9742"/>
            </w:tabs>
            <w:rPr>
              <w:rFonts w:asciiTheme="minorHAnsi" w:eastAsiaTheme="minorEastAsia" w:hAnsiTheme="minorHAnsi" w:cstheme="minorBidi"/>
              <w:noProof/>
              <w:lang w:val="en-MY" w:eastAsia="zh-CN"/>
            </w:rPr>
          </w:pPr>
          <w:hyperlink w:anchor="_Toc62221574"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_Toc62221574 \h </w:instrText>
            </w:r>
            <w:r>
              <w:rPr>
                <w:noProof/>
                <w:webHidden/>
              </w:rPr>
            </w:r>
            <w:r>
              <w:rPr>
                <w:noProof/>
                <w:webHidden/>
              </w:rPr>
              <w:fldChar w:fldCharType="separate"/>
            </w:r>
            <w:r>
              <w:rPr>
                <w:noProof/>
                <w:webHidden/>
              </w:rPr>
              <w:t>87</w:t>
            </w:r>
            <w:r>
              <w:rPr>
                <w:noProof/>
                <w:webHidden/>
              </w:rPr>
              <w:fldChar w:fldCharType="end"/>
            </w:r>
          </w:hyperlink>
        </w:p>
        <w:p w14:paraId="7CD4B43C" w14:textId="1893AAC8" w:rsidR="00500FE4" w:rsidRDefault="00500FE4">
          <w:pPr>
            <w:pStyle w:val="TOC5"/>
            <w:tabs>
              <w:tab w:val="right" w:pos="9742"/>
            </w:tabs>
            <w:rPr>
              <w:rFonts w:asciiTheme="minorHAnsi" w:eastAsiaTheme="minorEastAsia" w:hAnsiTheme="minorHAnsi" w:cstheme="minorBidi"/>
              <w:noProof/>
              <w:lang w:val="en-MY" w:eastAsia="zh-CN"/>
            </w:rPr>
          </w:pPr>
          <w:hyperlink w:anchor="_Toc62221575" w:history="1">
            <w:r w:rsidRPr="00031C90">
              <w:rPr>
                <w:rStyle w:val="Hyperlink"/>
                <w:noProof/>
              </w:rPr>
              <w:t>Enhancing NDC</w:t>
            </w:r>
            <w:r>
              <w:rPr>
                <w:noProof/>
                <w:webHidden/>
              </w:rPr>
              <w:tab/>
            </w:r>
            <w:r>
              <w:rPr>
                <w:noProof/>
                <w:webHidden/>
              </w:rPr>
              <w:fldChar w:fldCharType="begin"/>
            </w:r>
            <w:r>
              <w:rPr>
                <w:noProof/>
                <w:webHidden/>
              </w:rPr>
              <w:instrText xml:space="preserve"> PAGEREF _Toc62221575 \h </w:instrText>
            </w:r>
            <w:r>
              <w:rPr>
                <w:noProof/>
                <w:webHidden/>
              </w:rPr>
            </w:r>
            <w:r>
              <w:rPr>
                <w:noProof/>
                <w:webHidden/>
              </w:rPr>
              <w:fldChar w:fldCharType="separate"/>
            </w:r>
            <w:r>
              <w:rPr>
                <w:noProof/>
                <w:webHidden/>
              </w:rPr>
              <w:t>88</w:t>
            </w:r>
            <w:r>
              <w:rPr>
                <w:noProof/>
                <w:webHidden/>
              </w:rPr>
              <w:fldChar w:fldCharType="end"/>
            </w:r>
          </w:hyperlink>
        </w:p>
        <w:p w14:paraId="071350B2" w14:textId="0D2CB1A5" w:rsidR="00500FE4" w:rsidRDefault="00500FE4">
          <w:pPr>
            <w:pStyle w:val="TOC5"/>
            <w:tabs>
              <w:tab w:val="right" w:pos="9742"/>
            </w:tabs>
            <w:rPr>
              <w:rFonts w:asciiTheme="minorHAnsi" w:eastAsiaTheme="minorEastAsia" w:hAnsiTheme="minorHAnsi" w:cstheme="minorBidi"/>
              <w:noProof/>
              <w:lang w:val="en-MY" w:eastAsia="zh-CN"/>
            </w:rPr>
          </w:pPr>
          <w:hyperlink w:anchor="_Toc62221576" w:history="1">
            <w:r w:rsidRPr="00031C90">
              <w:rPr>
                <w:rStyle w:val="Hyperlink"/>
                <w:noProof/>
              </w:rPr>
              <w:t>Investment required: IDR 4,232 trillion (US$ 298 billion).</w:t>
            </w:r>
            <w:r>
              <w:rPr>
                <w:noProof/>
                <w:webHidden/>
              </w:rPr>
              <w:tab/>
            </w:r>
            <w:r>
              <w:rPr>
                <w:noProof/>
                <w:webHidden/>
              </w:rPr>
              <w:fldChar w:fldCharType="begin"/>
            </w:r>
            <w:r>
              <w:rPr>
                <w:noProof/>
                <w:webHidden/>
              </w:rPr>
              <w:instrText xml:space="preserve"> PAGEREF _Toc62221576 \h </w:instrText>
            </w:r>
            <w:r>
              <w:rPr>
                <w:noProof/>
                <w:webHidden/>
              </w:rPr>
            </w:r>
            <w:r>
              <w:rPr>
                <w:noProof/>
                <w:webHidden/>
              </w:rPr>
              <w:fldChar w:fldCharType="separate"/>
            </w:r>
            <w:r>
              <w:rPr>
                <w:noProof/>
                <w:webHidden/>
              </w:rPr>
              <w:t>88</w:t>
            </w:r>
            <w:r>
              <w:rPr>
                <w:noProof/>
                <w:webHidden/>
              </w:rPr>
              <w:fldChar w:fldCharType="end"/>
            </w:r>
          </w:hyperlink>
        </w:p>
        <w:p w14:paraId="0B0B698D" w14:textId="586FD69D" w:rsidR="00500FE4" w:rsidRDefault="00500FE4">
          <w:pPr>
            <w:pStyle w:val="TOC5"/>
            <w:tabs>
              <w:tab w:val="right" w:pos="9742"/>
            </w:tabs>
            <w:rPr>
              <w:rFonts w:asciiTheme="minorHAnsi" w:eastAsiaTheme="minorEastAsia" w:hAnsiTheme="minorHAnsi" w:cstheme="minorBidi"/>
              <w:noProof/>
              <w:lang w:val="en-MY" w:eastAsia="zh-CN"/>
            </w:rPr>
          </w:pPr>
          <w:hyperlink w:anchor="_Toc62221577"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_Toc62221577 \h </w:instrText>
            </w:r>
            <w:r>
              <w:rPr>
                <w:noProof/>
                <w:webHidden/>
              </w:rPr>
            </w:r>
            <w:r>
              <w:rPr>
                <w:noProof/>
                <w:webHidden/>
              </w:rPr>
              <w:fldChar w:fldCharType="separate"/>
            </w:r>
            <w:r>
              <w:rPr>
                <w:noProof/>
                <w:webHidden/>
              </w:rPr>
              <w:t>88</w:t>
            </w:r>
            <w:r>
              <w:rPr>
                <w:noProof/>
                <w:webHidden/>
              </w:rPr>
              <w:fldChar w:fldCharType="end"/>
            </w:r>
          </w:hyperlink>
        </w:p>
        <w:p w14:paraId="4FDCF221" w14:textId="0C379FFC" w:rsidR="00500FE4" w:rsidRDefault="00500FE4">
          <w:pPr>
            <w:pStyle w:val="TOC5"/>
            <w:tabs>
              <w:tab w:val="right" w:pos="9742"/>
            </w:tabs>
            <w:rPr>
              <w:rFonts w:asciiTheme="minorHAnsi" w:eastAsiaTheme="minorEastAsia" w:hAnsiTheme="minorHAnsi" w:cstheme="minorBidi"/>
              <w:noProof/>
              <w:lang w:val="en-MY" w:eastAsia="zh-CN"/>
            </w:rPr>
          </w:pPr>
          <w:hyperlink w:anchor="_Toc62221578" w:history="1">
            <w:r w:rsidRPr="00031C90">
              <w:rPr>
                <w:rStyle w:val="Hyperlink"/>
                <w:noProof/>
              </w:rPr>
              <w:t>Fossil lock-in</w:t>
            </w:r>
            <w:r>
              <w:rPr>
                <w:noProof/>
                <w:webHidden/>
              </w:rPr>
              <w:tab/>
            </w:r>
            <w:r>
              <w:rPr>
                <w:noProof/>
                <w:webHidden/>
              </w:rPr>
              <w:fldChar w:fldCharType="begin"/>
            </w:r>
            <w:r>
              <w:rPr>
                <w:noProof/>
                <w:webHidden/>
              </w:rPr>
              <w:instrText xml:space="preserve"> PAGEREF _Toc62221578 \h </w:instrText>
            </w:r>
            <w:r>
              <w:rPr>
                <w:noProof/>
                <w:webHidden/>
              </w:rPr>
            </w:r>
            <w:r>
              <w:rPr>
                <w:noProof/>
                <w:webHidden/>
              </w:rPr>
              <w:fldChar w:fldCharType="separate"/>
            </w:r>
            <w:r>
              <w:rPr>
                <w:noProof/>
                <w:webHidden/>
              </w:rPr>
              <w:t>88</w:t>
            </w:r>
            <w:r>
              <w:rPr>
                <w:noProof/>
                <w:webHidden/>
              </w:rPr>
              <w:fldChar w:fldCharType="end"/>
            </w:r>
          </w:hyperlink>
        </w:p>
        <w:p w14:paraId="6A41C6C2" w14:textId="453B6CD9" w:rsidR="00500FE4" w:rsidRDefault="00500FE4">
          <w:pPr>
            <w:pStyle w:val="TOC5"/>
            <w:tabs>
              <w:tab w:val="right" w:pos="9742"/>
            </w:tabs>
            <w:rPr>
              <w:rFonts w:asciiTheme="minorHAnsi" w:eastAsiaTheme="minorEastAsia" w:hAnsiTheme="minorHAnsi" w:cstheme="minorBidi"/>
              <w:noProof/>
              <w:lang w:val="en-MY" w:eastAsia="zh-CN"/>
            </w:rPr>
          </w:pPr>
          <w:hyperlink w:anchor="_Toc62221579" w:history="1">
            <w:r w:rsidRPr="00031C90">
              <w:rPr>
                <w:rStyle w:val="Hyperlink"/>
                <w:noProof/>
              </w:rPr>
              <w:t>Fossil fuel subsidy reform</w:t>
            </w:r>
            <w:r>
              <w:rPr>
                <w:noProof/>
                <w:webHidden/>
              </w:rPr>
              <w:tab/>
            </w:r>
            <w:r>
              <w:rPr>
                <w:noProof/>
                <w:webHidden/>
              </w:rPr>
              <w:fldChar w:fldCharType="begin"/>
            </w:r>
            <w:r>
              <w:rPr>
                <w:noProof/>
                <w:webHidden/>
              </w:rPr>
              <w:instrText xml:space="preserve"> PAGEREF _Toc62221579 \h </w:instrText>
            </w:r>
            <w:r>
              <w:rPr>
                <w:noProof/>
                <w:webHidden/>
              </w:rPr>
            </w:r>
            <w:r>
              <w:rPr>
                <w:noProof/>
                <w:webHidden/>
              </w:rPr>
              <w:fldChar w:fldCharType="separate"/>
            </w:r>
            <w:r>
              <w:rPr>
                <w:noProof/>
                <w:webHidden/>
              </w:rPr>
              <w:t>88</w:t>
            </w:r>
            <w:r>
              <w:rPr>
                <w:noProof/>
                <w:webHidden/>
              </w:rPr>
              <w:fldChar w:fldCharType="end"/>
            </w:r>
          </w:hyperlink>
        </w:p>
        <w:p w14:paraId="7872FA75" w14:textId="69E5739F" w:rsidR="00500FE4" w:rsidRDefault="00500FE4">
          <w:pPr>
            <w:pStyle w:val="TOC5"/>
            <w:tabs>
              <w:tab w:val="right" w:pos="9742"/>
            </w:tabs>
            <w:rPr>
              <w:rFonts w:asciiTheme="minorHAnsi" w:eastAsiaTheme="minorEastAsia" w:hAnsiTheme="minorHAnsi" w:cstheme="minorBidi"/>
              <w:noProof/>
              <w:lang w:val="en-MY" w:eastAsia="zh-CN"/>
            </w:rPr>
          </w:pPr>
          <w:hyperlink w:anchor="_Toc62221580" w:history="1">
            <w:r w:rsidRPr="00031C90">
              <w:rPr>
                <w:rStyle w:val="Hyperlink"/>
                <w:noProof/>
              </w:rPr>
              <w:t>Energy Balance</w:t>
            </w:r>
            <w:r>
              <w:rPr>
                <w:noProof/>
                <w:webHidden/>
              </w:rPr>
              <w:tab/>
            </w:r>
            <w:r>
              <w:rPr>
                <w:noProof/>
                <w:webHidden/>
              </w:rPr>
              <w:fldChar w:fldCharType="begin"/>
            </w:r>
            <w:r>
              <w:rPr>
                <w:noProof/>
                <w:webHidden/>
              </w:rPr>
              <w:instrText xml:space="preserve"> PAGEREF _Toc62221580 \h </w:instrText>
            </w:r>
            <w:r>
              <w:rPr>
                <w:noProof/>
                <w:webHidden/>
              </w:rPr>
            </w:r>
            <w:r>
              <w:rPr>
                <w:noProof/>
                <w:webHidden/>
              </w:rPr>
              <w:fldChar w:fldCharType="separate"/>
            </w:r>
            <w:r>
              <w:rPr>
                <w:noProof/>
                <w:webHidden/>
              </w:rPr>
              <w:t>89</w:t>
            </w:r>
            <w:r>
              <w:rPr>
                <w:noProof/>
                <w:webHidden/>
              </w:rPr>
              <w:fldChar w:fldCharType="end"/>
            </w:r>
          </w:hyperlink>
        </w:p>
        <w:p w14:paraId="6DFF4F9D" w14:textId="4CB36EB1" w:rsidR="00500FE4" w:rsidRDefault="00500FE4">
          <w:pPr>
            <w:pStyle w:val="TOC4"/>
            <w:tabs>
              <w:tab w:val="right" w:pos="9742"/>
            </w:tabs>
            <w:rPr>
              <w:rFonts w:asciiTheme="minorHAnsi" w:eastAsiaTheme="minorEastAsia" w:hAnsiTheme="minorHAnsi" w:cstheme="minorBidi"/>
              <w:noProof/>
              <w:lang w:val="en-MY" w:eastAsia="zh-CN"/>
            </w:rPr>
          </w:pPr>
          <w:hyperlink w:anchor="_Toc62221581" w:history="1">
            <w:r w:rsidRPr="00031C90">
              <w:rPr>
                <w:rStyle w:val="Hyperlink"/>
                <w:noProof/>
              </w:rPr>
              <w:t>No new investment in coal-fired power plants</w:t>
            </w:r>
            <w:r>
              <w:rPr>
                <w:noProof/>
                <w:webHidden/>
              </w:rPr>
              <w:tab/>
            </w:r>
            <w:r>
              <w:rPr>
                <w:noProof/>
                <w:webHidden/>
              </w:rPr>
              <w:fldChar w:fldCharType="begin"/>
            </w:r>
            <w:r>
              <w:rPr>
                <w:noProof/>
                <w:webHidden/>
              </w:rPr>
              <w:instrText xml:space="preserve"> PAGEREF _Toc62221581 \h </w:instrText>
            </w:r>
            <w:r>
              <w:rPr>
                <w:noProof/>
                <w:webHidden/>
              </w:rPr>
            </w:r>
            <w:r>
              <w:rPr>
                <w:noProof/>
                <w:webHidden/>
              </w:rPr>
              <w:fldChar w:fldCharType="separate"/>
            </w:r>
            <w:r>
              <w:rPr>
                <w:noProof/>
                <w:webHidden/>
              </w:rPr>
              <w:t>89</w:t>
            </w:r>
            <w:r>
              <w:rPr>
                <w:noProof/>
                <w:webHidden/>
              </w:rPr>
              <w:fldChar w:fldCharType="end"/>
            </w:r>
          </w:hyperlink>
        </w:p>
        <w:p w14:paraId="769E36A3" w14:textId="52355FE3" w:rsidR="00500FE4" w:rsidRDefault="00500FE4">
          <w:pPr>
            <w:pStyle w:val="TOC5"/>
            <w:tabs>
              <w:tab w:val="right" w:pos="9742"/>
            </w:tabs>
            <w:rPr>
              <w:rFonts w:asciiTheme="minorHAnsi" w:eastAsiaTheme="minorEastAsia" w:hAnsiTheme="minorHAnsi" w:cstheme="minorBidi"/>
              <w:noProof/>
              <w:lang w:val="en-MY" w:eastAsia="zh-CN"/>
            </w:rPr>
          </w:pPr>
          <w:hyperlink w:anchor="_Toc62221582" w:history="1">
            <w:r w:rsidRPr="00031C90">
              <w:rPr>
                <w:rStyle w:val="Hyperlink"/>
                <w:noProof/>
              </w:rPr>
              <w:t>Scenario description</w:t>
            </w:r>
            <w:r>
              <w:rPr>
                <w:noProof/>
                <w:webHidden/>
              </w:rPr>
              <w:tab/>
            </w:r>
            <w:r>
              <w:rPr>
                <w:noProof/>
                <w:webHidden/>
              </w:rPr>
              <w:fldChar w:fldCharType="begin"/>
            </w:r>
            <w:r>
              <w:rPr>
                <w:noProof/>
                <w:webHidden/>
              </w:rPr>
              <w:instrText xml:space="preserve"> PAGEREF _Toc62221582 \h </w:instrText>
            </w:r>
            <w:r>
              <w:rPr>
                <w:noProof/>
                <w:webHidden/>
              </w:rPr>
            </w:r>
            <w:r>
              <w:rPr>
                <w:noProof/>
                <w:webHidden/>
              </w:rPr>
              <w:fldChar w:fldCharType="separate"/>
            </w:r>
            <w:r>
              <w:rPr>
                <w:noProof/>
                <w:webHidden/>
              </w:rPr>
              <w:t>89</w:t>
            </w:r>
            <w:r>
              <w:rPr>
                <w:noProof/>
                <w:webHidden/>
              </w:rPr>
              <w:fldChar w:fldCharType="end"/>
            </w:r>
          </w:hyperlink>
        </w:p>
        <w:p w14:paraId="2EA30E1E" w14:textId="2CB38356" w:rsidR="00500FE4" w:rsidRDefault="00500FE4">
          <w:pPr>
            <w:pStyle w:val="TOC5"/>
            <w:tabs>
              <w:tab w:val="right" w:pos="9742"/>
            </w:tabs>
            <w:rPr>
              <w:rFonts w:asciiTheme="minorHAnsi" w:eastAsiaTheme="minorEastAsia" w:hAnsiTheme="minorHAnsi" w:cstheme="minorBidi"/>
              <w:noProof/>
              <w:lang w:val="en-MY" w:eastAsia="zh-CN"/>
            </w:rPr>
          </w:pPr>
          <w:hyperlink w:anchor="_Toc62221583" w:history="1">
            <w:r w:rsidRPr="00031C90">
              <w:rPr>
                <w:rStyle w:val="Hyperlink"/>
                <w:noProof/>
              </w:rPr>
              <w:t>SDG 7.1.1. Universal access to electricity</w:t>
            </w:r>
            <w:r>
              <w:rPr>
                <w:noProof/>
                <w:webHidden/>
              </w:rPr>
              <w:tab/>
            </w:r>
            <w:r>
              <w:rPr>
                <w:noProof/>
                <w:webHidden/>
              </w:rPr>
              <w:fldChar w:fldCharType="begin"/>
            </w:r>
            <w:r>
              <w:rPr>
                <w:noProof/>
                <w:webHidden/>
              </w:rPr>
              <w:instrText xml:space="preserve"> PAGEREF _Toc62221583 \h </w:instrText>
            </w:r>
            <w:r>
              <w:rPr>
                <w:noProof/>
                <w:webHidden/>
              </w:rPr>
            </w:r>
            <w:r>
              <w:rPr>
                <w:noProof/>
                <w:webHidden/>
              </w:rPr>
              <w:fldChar w:fldCharType="separate"/>
            </w:r>
            <w:r>
              <w:rPr>
                <w:noProof/>
                <w:webHidden/>
              </w:rPr>
              <w:t>89</w:t>
            </w:r>
            <w:r>
              <w:rPr>
                <w:noProof/>
                <w:webHidden/>
              </w:rPr>
              <w:fldChar w:fldCharType="end"/>
            </w:r>
          </w:hyperlink>
        </w:p>
        <w:p w14:paraId="406154F6" w14:textId="4337D0AF" w:rsidR="00500FE4" w:rsidRDefault="00500FE4">
          <w:pPr>
            <w:pStyle w:val="TOC5"/>
            <w:tabs>
              <w:tab w:val="right" w:pos="9742"/>
            </w:tabs>
            <w:rPr>
              <w:rFonts w:asciiTheme="minorHAnsi" w:eastAsiaTheme="minorEastAsia" w:hAnsiTheme="minorHAnsi" w:cstheme="minorBidi"/>
              <w:noProof/>
              <w:lang w:val="en-MY" w:eastAsia="zh-CN"/>
            </w:rPr>
          </w:pPr>
          <w:hyperlink w:anchor="_Toc62221584" w:history="1">
            <w:r w:rsidRPr="00031C90">
              <w:rPr>
                <w:rStyle w:val="Hyperlink"/>
                <w:noProof/>
              </w:rPr>
              <w:t>SDG 7.1.2. Universal access to clean cooking</w:t>
            </w:r>
            <w:r>
              <w:rPr>
                <w:noProof/>
                <w:webHidden/>
              </w:rPr>
              <w:tab/>
            </w:r>
            <w:r>
              <w:rPr>
                <w:noProof/>
                <w:webHidden/>
              </w:rPr>
              <w:fldChar w:fldCharType="begin"/>
            </w:r>
            <w:r>
              <w:rPr>
                <w:noProof/>
                <w:webHidden/>
              </w:rPr>
              <w:instrText xml:space="preserve"> PAGEREF _Toc62221584 \h </w:instrText>
            </w:r>
            <w:r>
              <w:rPr>
                <w:noProof/>
                <w:webHidden/>
              </w:rPr>
            </w:r>
            <w:r>
              <w:rPr>
                <w:noProof/>
                <w:webHidden/>
              </w:rPr>
              <w:fldChar w:fldCharType="separate"/>
            </w:r>
            <w:r>
              <w:rPr>
                <w:noProof/>
                <w:webHidden/>
              </w:rPr>
              <w:t>89</w:t>
            </w:r>
            <w:r>
              <w:rPr>
                <w:noProof/>
                <w:webHidden/>
              </w:rPr>
              <w:fldChar w:fldCharType="end"/>
            </w:r>
          </w:hyperlink>
        </w:p>
        <w:p w14:paraId="710546D1" w14:textId="48F75D92" w:rsidR="00500FE4" w:rsidRDefault="00500FE4">
          <w:pPr>
            <w:pStyle w:val="TOC5"/>
            <w:tabs>
              <w:tab w:val="right" w:pos="9742"/>
            </w:tabs>
            <w:rPr>
              <w:rFonts w:asciiTheme="minorHAnsi" w:eastAsiaTheme="minorEastAsia" w:hAnsiTheme="minorHAnsi" w:cstheme="minorBidi"/>
              <w:noProof/>
              <w:lang w:val="en-MY" w:eastAsia="zh-CN"/>
            </w:rPr>
          </w:pPr>
          <w:hyperlink w:anchor="_Toc62221585" w:history="1">
            <w:r w:rsidRPr="00031C90">
              <w:rPr>
                <w:rStyle w:val="Hyperlink"/>
                <w:noProof/>
              </w:rPr>
              <w:t>SDG 7.2. Renewable energy</w:t>
            </w:r>
            <w:r>
              <w:rPr>
                <w:noProof/>
                <w:webHidden/>
              </w:rPr>
              <w:tab/>
            </w:r>
            <w:r>
              <w:rPr>
                <w:noProof/>
                <w:webHidden/>
              </w:rPr>
              <w:fldChar w:fldCharType="begin"/>
            </w:r>
            <w:r>
              <w:rPr>
                <w:noProof/>
                <w:webHidden/>
              </w:rPr>
              <w:instrText xml:space="preserve"> PAGEREF _Toc62221585 \h </w:instrText>
            </w:r>
            <w:r>
              <w:rPr>
                <w:noProof/>
                <w:webHidden/>
              </w:rPr>
            </w:r>
            <w:r>
              <w:rPr>
                <w:noProof/>
                <w:webHidden/>
              </w:rPr>
              <w:fldChar w:fldCharType="separate"/>
            </w:r>
            <w:r>
              <w:rPr>
                <w:noProof/>
                <w:webHidden/>
              </w:rPr>
              <w:t>89</w:t>
            </w:r>
            <w:r>
              <w:rPr>
                <w:noProof/>
                <w:webHidden/>
              </w:rPr>
              <w:fldChar w:fldCharType="end"/>
            </w:r>
          </w:hyperlink>
        </w:p>
        <w:p w14:paraId="727ABDE1" w14:textId="7E3C5C7C" w:rsidR="00500FE4" w:rsidRDefault="00500FE4">
          <w:pPr>
            <w:pStyle w:val="TOC5"/>
            <w:tabs>
              <w:tab w:val="right" w:pos="9742"/>
            </w:tabs>
            <w:rPr>
              <w:rFonts w:asciiTheme="minorHAnsi" w:eastAsiaTheme="minorEastAsia" w:hAnsiTheme="minorHAnsi" w:cstheme="minorBidi"/>
              <w:noProof/>
              <w:lang w:val="en-MY" w:eastAsia="zh-CN"/>
            </w:rPr>
          </w:pPr>
          <w:hyperlink w:anchor="_Toc62221586" w:history="1">
            <w:r w:rsidRPr="00031C90">
              <w:rPr>
                <w:rStyle w:val="Hyperlink"/>
                <w:noProof/>
              </w:rPr>
              <w:t>SDG 7.3. Energy Efficiency</w:t>
            </w:r>
            <w:r>
              <w:rPr>
                <w:noProof/>
                <w:webHidden/>
              </w:rPr>
              <w:tab/>
            </w:r>
            <w:r>
              <w:rPr>
                <w:noProof/>
                <w:webHidden/>
              </w:rPr>
              <w:fldChar w:fldCharType="begin"/>
            </w:r>
            <w:r>
              <w:rPr>
                <w:noProof/>
                <w:webHidden/>
              </w:rPr>
              <w:instrText xml:space="preserve"> PAGEREF _Toc62221586 \h </w:instrText>
            </w:r>
            <w:r>
              <w:rPr>
                <w:noProof/>
                <w:webHidden/>
              </w:rPr>
            </w:r>
            <w:r>
              <w:rPr>
                <w:noProof/>
                <w:webHidden/>
              </w:rPr>
              <w:fldChar w:fldCharType="separate"/>
            </w:r>
            <w:r>
              <w:rPr>
                <w:noProof/>
                <w:webHidden/>
              </w:rPr>
              <w:t>90</w:t>
            </w:r>
            <w:r>
              <w:rPr>
                <w:noProof/>
                <w:webHidden/>
              </w:rPr>
              <w:fldChar w:fldCharType="end"/>
            </w:r>
          </w:hyperlink>
        </w:p>
        <w:p w14:paraId="69D3479D" w14:textId="3BD92F89" w:rsidR="00500FE4" w:rsidRDefault="00500FE4">
          <w:pPr>
            <w:pStyle w:val="TOC5"/>
            <w:tabs>
              <w:tab w:val="right" w:pos="9742"/>
            </w:tabs>
            <w:rPr>
              <w:rFonts w:asciiTheme="minorHAnsi" w:eastAsiaTheme="minorEastAsia" w:hAnsiTheme="minorHAnsi" w:cstheme="minorBidi"/>
              <w:noProof/>
              <w:lang w:val="en-MY" w:eastAsia="zh-CN"/>
            </w:rPr>
          </w:pPr>
          <w:hyperlink w:anchor="_Toc62221587" w:history="1">
            <w:r w:rsidRPr="00031C90">
              <w:rPr>
                <w:rStyle w:val="Hyperlink"/>
                <w:noProof/>
              </w:rPr>
              <w:t>Investment required: IDR 2,868 trillion (US$ 202 billion).</w:t>
            </w:r>
            <w:r>
              <w:rPr>
                <w:noProof/>
                <w:webHidden/>
              </w:rPr>
              <w:tab/>
            </w:r>
            <w:r>
              <w:rPr>
                <w:noProof/>
                <w:webHidden/>
              </w:rPr>
              <w:fldChar w:fldCharType="begin"/>
            </w:r>
            <w:r>
              <w:rPr>
                <w:noProof/>
                <w:webHidden/>
              </w:rPr>
              <w:instrText xml:space="preserve"> PAGEREF _Toc62221587 \h </w:instrText>
            </w:r>
            <w:r>
              <w:rPr>
                <w:noProof/>
                <w:webHidden/>
              </w:rPr>
            </w:r>
            <w:r>
              <w:rPr>
                <w:noProof/>
                <w:webHidden/>
              </w:rPr>
              <w:fldChar w:fldCharType="separate"/>
            </w:r>
            <w:r>
              <w:rPr>
                <w:noProof/>
                <w:webHidden/>
              </w:rPr>
              <w:t>90</w:t>
            </w:r>
            <w:r>
              <w:rPr>
                <w:noProof/>
                <w:webHidden/>
              </w:rPr>
              <w:fldChar w:fldCharType="end"/>
            </w:r>
          </w:hyperlink>
        </w:p>
        <w:p w14:paraId="696F3B02" w14:textId="5375E118" w:rsidR="00500FE4" w:rsidRDefault="00500FE4">
          <w:pPr>
            <w:pStyle w:val="TOC5"/>
            <w:tabs>
              <w:tab w:val="right" w:pos="9742"/>
            </w:tabs>
            <w:rPr>
              <w:rFonts w:asciiTheme="minorHAnsi" w:eastAsiaTheme="minorEastAsia" w:hAnsiTheme="minorHAnsi" w:cstheme="minorBidi"/>
              <w:noProof/>
              <w:lang w:val="en-MY" w:eastAsia="zh-CN"/>
            </w:rPr>
          </w:pPr>
          <w:hyperlink w:anchor="_Toc62221588" w:history="1">
            <w:r w:rsidRPr="00031C90">
              <w:rPr>
                <w:rStyle w:val="Hyperlink"/>
                <w:noProof/>
              </w:rPr>
              <w:t>Total net benefits from the power sector</w:t>
            </w:r>
            <w:r>
              <w:rPr>
                <w:noProof/>
                <w:webHidden/>
              </w:rPr>
              <w:tab/>
            </w:r>
            <w:r>
              <w:rPr>
                <w:noProof/>
                <w:webHidden/>
              </w:rPr>
              <w:fldChar w:fldCharType="begin"/>
            </w:r>
            <w:r>
              <w:rPr>
                <w:noProof/>
                <w:webHidden/>
              </w:rPr>
              <w:instrText xml:space="preserve"> PAGEREF _Toc62221588 \h </w:instrText>
            </w:r>
            <w:r>
              <w:rPr>
                <w:noProof/>
                <w:webHidden/>
              </w:rPr>
            </w:r>
            <w:r>
              <w:rPr>
                <w:noProof/>
                <w:webHidden/>
              </w:rPr>
              <w:fldChar w:fldCharType="separate"/>
            </w:r>
            <w:r>
              <w:rPr>
                <w:noProof/>
                <w:webHidden/>
              </w:rPr>
              <w:t>90</w:t>
            </w:r>
            <w:r>
              <w:rPr>
                <w:noProof/>
                <w:webHidden/>
              </w:rPr>
              <w:fldChar w:fldCharType="end"/>
            </w:r>
          </w:hyperlink>
        </w:p>
        <w:p w14:paraId="6B37A7EC" w14:textId="556B1ACE" w:rsidR="00500FE4" w:rsidRDefault="00500FE4">
          <w:pPr>
            <w:pStyle w:val="TOC5"/>
            <w:tabs>
              <w:tab w:val="right" w:pos="9742"/>
            </w:tabs>
            <w:rPr>
              <w:rFonts w:asciiTheme="minorHAnsi" w:eastAsiaTheme="minorEastAsia" w:hAnsiTheme="minorHAnsi" w:cstheme="minorBidi"/>
              <w:noProof/>
              <w:lang w:val="en-MY" w:eastAsia="zh-CN"/>
            </w:rPr>
          </w:pPr>
          <w:hyperlink w:anchor="_Toc62221589" w:history="1">
            <w:r w:rsidRPr="00031C90">
              <w:rPr>
                <w:rStyle w:val="Hyperlink"/>
                <w:noProof/>
              </w:rPr>
              <w:t>Fossil fuel subsidy</w:t>
            </w:r>
            <w:r>
              <w:rPr>
                <w:noProof/>
                <w:webHidden/>
              </w:rPr>
              <w:tab/>
            </w:r>
            <w:r>
              <w:rPr>
                <w:noProof/>
                <w:webHidden/>
              </w:rPr>
              <w:fldChar w:fldCharType="begin"/>
            </w:r>
            <w:r>
              <w:rPr>
                <w:noProof/>
                <w:webHidden/>
              </w:rPr>
              <w:instrText xml:space="preserve"> PAGEREF _Toc62221589 \h </w:instrText>
            </w:r>
            <w:r>
              <w:rPr>
                <w:noProof/>
                <w:webHidden/>
              </w:rPr>
            </w:r>
            <w:r>
              <w:rPr>
                <w:noProof/>
                <w:webHidden/>
              </w:rPr>
              <w:fldChar w:fldCharType="separate"/>
            </w:r>
            <w:r>
              <w:rPr>
                <w:noProof/>
                <w:webHidden/>
              </w:rPr>
              <w:t>90</w:t>
            </w:r>
            <w:r>
              <w:rPr>
                <w:noProof/>
                <w:webHidden/>
              </w:rPr>
              <w:fldChar w:fldCharType="end"/>
            </w:r>
          </w:hyperlink>
        </w:p>
        <w:p w14:paraId="5131EDA9" w14:textId="23C7E119" w:rsidR="00500FE4" w:rsidRDefault="00500FE4">
          <w:pPr>
            <w:pStyle w:val="TOC5"/>
            <w:tabs>
              <w:tab w:val="right" w:pos="9742"/>
            </w:tabs>
            <w:rPr>
              <w:rFonts w:asciiTheme="minorHAnsi" w:eastAsiaTheme="minorEastAsia" w:hAnsiTheme="minorHAnsi" w:cstheme="minorBidi"/>
              <w:noProof/>
              <w:lang w:val="en-MY" w:eastAsia="zh-CN"/>
            </w:rPr>
          </w:pPr>
          <w:hyperlink w:anchor="_Toc62221590" w:history="1">
            <w:r w:rsidRPr="00031C90">
              <w:rPr>
                <w:rStyle w:val="Hyperlink"/>
                <w:noProof/>
              </w:rPr>
              <w:t>Coal lock-in</w:t>
            </w:r>
            <w:r>
              <w:rPr>
                <w:noProof/>
                <w:webHidden/>
              </w:rPr>
              <w:tab/>
            </w:r>
            <w:r>
              <w:rPr>
                <w:noProof/>
                <w:webHidden/>
              </w:rPr>
              <w:fldChar w:fldCharType="begin"/>
            </w:r>
            <w:r>
              <w:rPr>
                <w:noProof/>
                <w:webHidden/>
              </w:rPr>
              <w:instrText xml:space="preserve"> PAGEREF _Toc62221590 \h </w:instrText>
            </w:r>
            <w:r>
              <w:rPr>
                <w:noProof/>
                <w:webHidden/>
              </w:rPr>
            </w:r>
            <w:r>
              <w:rPr>
                <w:noProof/>
                <w:webHidden/>
              </w:rPr>
              <w:fldChar w:fldCharType="separate"/>
            </w:r>
            <w:r>
              <w:rPr>
                <w:noProof/>
                <w:webHidden/>
              </w:rPr>
              <w:t>90</w:t>
            </w:r>
            <w:r>
              <w:rPr>
                <w:noProof/>
                <w:webHidden/>
              </w:rPr>
              <w:fldChar w:fldCharType="end"/>
            </w:r>
          </w:hyperlink>
        </w:p>
        <w:p w14:paraId="03776003" w14:textId="0981ACB6" w:rsidR="00500FE4" w:rsidRDefault="00500FE4">
          <w:pPr>
            <w:pStyle w:val="TOC5"/>
            <w:tabs>
              <w:tab w:val="right" w:pos="9742"/>
            </w:tabs>
            <w:rPr>
              <w:rFonts w:asciiTheme="minorHAnsi" w:eastAsiaTheme="minorEastAsia" w:hAnsiTheme="minorHAnsi" w:cstheme="minorBidi"/>
              <w:noProof/>
              <w:lang w:val="en-MY" w:eastAsia="zh-CN"/>
            </w:rPr>
          </w:pPr>
          <w:hyperlink w:anchor="_Toc62221591" w:history="1">
            <w:r w:rsidRPr="00031C90">
              <w:rPr>
                <w:rStyle w:val="Hyperlink"/>
                <w:noProof/>
              </w:rPr>
              <w:t>Energy balance</w:t>
            </w:r>
            <w:r>
              <w:rPr>
                <w:noProof/>
                <w:webHidden/>
              </w:rPr>
              <w:tab/>
            </w:r>
            <w:r>
              <w:rPr>
                <w:noProof/>
                <w:webHidden/>
              </w:rPr>
              <w:fldChar w:fldCharType="begin"/>
            </w:r>
            <w:r>
              <w:rPr>
                <w:noProof/>
                <w:webHidden/>
              </w:rPr>
              <w:instrText xml:space="preserve"> PAGEREF _Toc62221591 \h </w:instrText>
            </w:r>
            <w:r>
              <w:rPr>
                <w:noProof/>
                <w:webHidden/>
              </w:rPr>
            </w:r>
            <w:r>
              <w:rPr>
                <w:noProof/>
                <w:webHidden/>
              </w:rPr>
              <w:fldChar w:fldCharType="separate"/>
            </w:r>
            <w:r>
              <w:rPr>
                <w:noProof/>
                <w:webHidden/>
              </w:rPr>
              <w:t>90</w:t>
            </w:r>
            <w:r>
              <w:rPr>
                <w:noProof/>
                <w:webHidden/>
              </w:rPr>
              <w:fldChar w:fldCharType="end"/>
            </w:r>
          </w:hyperlink>
        </w:p>
        <w:p w14:paraId="15AB10FC" w14:textId="7503B55A"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592" w:history="1">
            <w:r w:rsidRPr="00031C90">
              <w:rPr>
                <w:rStyle w:val="Hyperlink"/>
                <w:noProof/>
              </w:rPr>
              <w:t>VI.</w:t>
            </w:r>
            <w:r>
              <w:rPr>
                <w:rFonts w:asciiTheme="minorHAnsi" w:eastAsiaTheme="minorEastAsia" w:hAnsiTheme="minorHAnsi" w:cstheme="minorBidi"/>
                <w:noProof/>
                <w:lang w:val="en-MY" w:eastAsia="zh-CN"/>
              </w:rPr>
              <w:tab/>
            </w:r>
            <w:r w:rsidRPr="00031C90">
              <w:rPr>
                <w:rStyle w:val="Hyperlink"/>
                <w:noProof/>
              </w:rPr>
              <w:t>Limitations of NEXSTEP</w:t>
            </w:r>
            <w:r>
              <w:rPr>
                <w:noProof/>
                <w:webHidden/>
              </w:rPr>
              <w:tab/>
            </w:r>
            <w:r>
              <w:rPr>
                <w:noProof/>
                <w:webHidden/>
              </w:rPr>
              <w:fldChar w:fldCharType="begin"/>
            </w:r>
            <w:r>
              <w:rPr>
                <w:noProof/>
                <w:webHidden/>
              </w:rPr>
              <w:instrText xml:space="preserve"> PAGEREF _Toc62221592 \h </w:instrText>
            </w:r>
            <w:r>
              <w:rPr>
                <w:noProof/>
                <w:webHidden/>
              </w:rPr>
            </w:r>
            <w:r>
              <w:rPr>
                <w:noProof/>
                <w:webHidden/>
              </w:rPr>
              <w:fldChar w:fldCharType="separate"/>
            </w:r>
            <w:r>
              <w:rPr>
                <w:noProof/>
                <w:webHidden/>
              </w:rPr>
              <w:t>91</w:t>
            </w:r>
            <w:r>
              <w:rPr>
                <w:noProof/>
                <w:webHidden/>
              </w:rPr>
              <w:fldChar w:fldCharType="end"/>
            </w:r>
          </w:hyperlink>
        </w:p>
        <w:p w14:paraId="5EB7485F" w14:textId="5E14F0B1"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593" w:history="1">
            <w:r w:rsidRPr="00031C90">
              <w:rPr>
                <w:rStyle w:val="Hyperlink"/>
                <w:noProof/>
              </w:rPr>
              <w:t>VII.</w:t>
            </w:r>
            <w:r>
              <w:rPr>
                <w:rFonts w:asciiTheme="minorHAnsi" w:eastAsiaTheme="minorEastAsia" w:hAnsiTheme="minorHAnsi" w:cstheme="minorBidi"/>
                <w:noProof/>
                <w:lang w:val="en-MY" w:eastAsia="zh-CN"/>
              </w:rPr>
              <w:tab/>
            </w:r>
            <w:r w:rsidRPr="00031C90">
              <w:rPr>
                <w:rStyle w:val="Hyperlink"/>
                <w:noProof/>
              </w:rPr>
              <w:t>Stock-Turnover Analysis</w:t>
            </w:r>
            <w:r>
              <w:rPr>
                <w:noProof/>
                <w:webHidden/>
              </w:rPr>
              <w:tab/>
            </w:r>
            <w:r>
              <w:rPr>
                <w:noProof/>
                <w:webHidden/>
              </w:rPr>
              <w:fldChar w:fldCharType="begin"/>
            </w:r>
            <w:r>
              <w:rPr>
                <w:noProof/>
                <w:webHidden/>
              </w:rPr>
              <w:instrText xml:space="preserve"> PAGEREF _Toc62221593 \h </w:instrText>
            </w:r>
            <w:r>
              <w:rPr>
                <w:noProof/>
                <w:webHidden/>
              </w:rPr>
            </w:r>
            <w:r>
              <w:rPr>
                <w:noProof/>
                <w:webHidden/>
              </w:rPr>
              <w:fldChar w:fldCharType="separate"/>
            </w:r>
            <w:r>
              <w:rPr>
                <w:noProof/>
                <w:webHidden/>
              </w:rPr>
              <w:t>92</w:t>
            </w:r>
            <w:r>
              <w:rPr>
                <w:noProof/>
                <w:webHidden/>
              </w:rPr>
              <w:fldChar w:fldCharType="end"/>
            </w:r>
          </w:hyperlink>
        </w:p>
        <w:p w14:paraId="38604086" w14:textId="41DE8908" w:rsidR="00500FE4" w:rsidRDefault="00500FE4">
          <w:pPr>
            <w:pStyle w:val="TOC3"/>
            <w:tabs>
              <w:tab w:val="right" w:pos="9742"/>
            </w:tabs>
            <w:rPr>
              <w:rFonts w:asciiTheme="minorHAnsi" w:eastAsiaTheme="minorEastAsia" w:hAnsiTheme="minorHAnsi" w:cstheme="minorBidi"/>
              <w:noProof/>
              <w:lang w:val="en-MY" w:eastAsia="zh-CN"/>
            </w:rPr>
          </w:pPr>
          <w:hyperlink w:anchor="_Toc62221594" w:history="1">
            <w:r w:rsidRPr="00031C90">
              <w:rPr>
                <w:rStyle w:val="Hyperlink"/>
                <w:noProof/>
              </w:rPr>
              <w:t>Stock-turnover analysis</w:t>
            </w:r>
            <w:r>
              <w:rPr>
                <w:noProof/>
                <w:webHidden/>
              </w:rPr>
              <w:tab/>
            </w:r>
            <w:r>
              <w:rPr>
                <w:noProof/>
                <w:webHidden/>
              </w:rPr>
              <w:fldChar w:fldCharType="begin"/>
            </w:r>
            <w:r>
              <w:rPr>
                <w:noProof/>
                <w:webHidden/>
              </w:rPr>
              <w:instrText xml:space="preserve"> PAGEREF _Toc62221594 \h </w:instrText>
            </w:r>
            <w:r>
              <w:rPr>
                <w:noProof/>
                <w:webHidden/>
              </w:rPr>
            </w:r>
            <w:r>
              <w:rPr>
                <w:noProof/>
                <w:webHidden/>
              </w:rPr>
              <w:fldChar w:fldCharType="separate"/>
            </w:r>
            <w:r>
              <w:rPr>
                <w:noProof/>
                <w:webHidden/>
              </w:rPr>
              <w:t>92</w:t>
            </w:r>
            <w:r>
              <w:rPr>
                <w:noProof/>
                <w:webHidden/>
              </w:rPr>
              <w:fldChar w:fldCharType="end"/>
            </w:r>
          </w:hyperlink>
        </w:p>
        <w:p w14:paraId="5F98309D" w14:textId="2F7CAA01"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595" w:history="1">
            <w:r w:rsidRPr="00031C90">
              <w:rPr>
                <w:rStyle w:val="Hyperlink"/>
                <w:noProof/>
              </w:rPr>
              <w:t>VIII.</w:t>
            </w:r>
            <w:r>
              <w:rPr>
                <w:rFonts w:asciiTheme="minorHAnsi" w:eastAsiaTheme="minorEastAsia" w:hAnsiTheme="minorHAnsi" w:cstheme="minorBidi"/>
                <w:noProof/>
                <w:lang w:val="en-MY" w:eastAsia="zh-CN"/>
              </w:rPr>
              <w:tab/>
            </w:r>
            <w:r w:rsidRPr="00031C90">
              <w:rPr>
                <w:rStyle w:val="Hyperlink"/>
                <w:noProof/>
              </w:rPr>
              <w:t>Indonesia energy balance 2018</w:t>
            </w:r>
            <w:r>
              <w:rPr>
                <w:noProof/>
                <w:webHidden/>
              </w:rPr>
              <w:tab/>
            </w:r>
            <w:r>
              <w:rPr>
                <w:noProof/>
                <w:webHidden/>
              </w:rPr>
              <w:fldChar w:fldCharType="begin"/>
            </w:r>
            <w:r>
              <w:rPr>
                <w:noProof/>
                <w:webHidden/>
              </w:rPr>
              <w:instrText xml:space="preserve"> PAGEREF _Toc62221595 \h </w:instrText>
            </w:r>
            <w:r>
              <w:rPr>
                <w:noProof/>
                <w:webHidden/>
              </w:rPr>
            </w:r>
            <w:r>
              <w:rPr>
                <w:noProof/>
                <w:webHidden/>
              </w:rPr>
              <w:fldChar w:fldCharType="separate"/>
            </w:r>
            <w:r>
              <w:rPr>
                <w:noProof/>
                <w:webHidden/>
              </w:rPr>
              <w:t>95</w:t>
            </w:r>
            <w:r>
              <w:rPr>
                <w:noProof/>
                <w:webHidden/>
              </w:rPr>
              <w:fldChar w:fldCharType="end"/>
            </w:r>
          </w:hyperlink>
        </w:p>
        <w:p w14:paraId="6C8DF25D" w14:textId="79923AD2" w:rsidR="00500FE4" w:rsidRDefault="00500FE4">
          <w:pPr>
            <w:pStyle w:val="TOC2"/>
            <w:tabs>
              <w:tab w:val="left" w:pos="880"/>
              <w:tab w:val="right" w:pos="9742"/>
            </w:tabs>
            <w:rPr>
              <w:rFonts w:asciiTheme="minorHAnsi" w:eastAsiaTheme="minorEastAsia" w:hAnsiTheme="minorHAnsi" w:cstheme="minorBidi"/>
              <w:noProof/>
              <w:lang w:val="en-MY" w:eastAsia="zh-CN"/>
            </w:rPr>
          </w:pPr>
          <w:hyperlink w:anchor="_Toc62221596" w:history="1">
            <w:r w:rsidRPr="00031C90">
              <w:rPr>
                <w:rStyle w:val="Hyperlink"/>
                <w:noProof/>
              </w:rPr>
              <w:t>IX.</w:t>
            </w:r>
            <w:r>
              <w:rPr>
                <w:rFonts w:asciiTheme="minorHAnsi" w:eastAsiaTheme="minorEastAsia" w:hAnsiTheme="minorHAnsi" w:cstheme="minorBidi"/>
                <w:noProof/>
                <w:lang w:val="en-MY" w:eastAsia="zh-CN"/>
              </w:rPr>
              <w:tab/>
            </w:r>
            <w:r w:rsidRPr="00031C90">
              <w:rPr>
                <w:rStyle w:val="Hyperlink"/>
                <w:noProof/>
              </w:rPr>
              <w:t>Indonesia RUPTL 2019 – 2028 Planned Capacity Addition</w:t>
            </w:r>
            <w:r>
              <w:rPr>
                <w:noProof/>
                <w:webHidden/>
              </w:rPr>
              <w:tab/>
            </w:r>
            <w:r>
              <w:rPr>
                <w:noProof/>
                <w:webHidden/>
              </w:rPr>
              <w:fldChar w:fldCharType="begin"/>
            </w:r>
            <w:r>
              <w:rPr>
                <w:noProof/>
                <w:webHidden/>
              </w:rPr>
              <w:instrText xml:space="preserve"> PAGEREF _Toc62221596 \h </w:instrText>
            </w:r>
            <w:r>
              <w:rPr>
                <w:noProof/>
                <w:webHidden/>
              </w:rPr>
            </w:r>
            <w:r>
              <w:rPr>
                <w:noProof/>
                <w:webHidden/>
              </w:rPr>
              <w:fldChar w:fldCharType="separate"/>
            </w:r>
            <w:r>
              <w:rPr>
                <w:noProof/>
                <w:webHidden/>
              </w:rPr>
              <w:t>96</w:t>
            </w:r>
            <w:r>
              <w:rPr>
                <w:noProof/>
                <w:webHidden/>
              </w:rPr>
              <w:fldChar w:fldCharType="end"/>
            </w:r>
          </w:hyperlink>
        </w:p>
        <w:p w14:paraId="2847757E" w14:textId="1C97D93E" w:rsidR="00A031A6" w:rsidRDefault="00916FD0">
          <w:pPr>
            <w:tabs>
              <w:tab w:val="right" w:pos="9751"/>
            </w:tabs>
            <w:spacing w:before="60" w:after="80" w:line="240" w:lineRule="auto"/>
            <w:ind w:left="360"/>
            <w:rPr>
              <w:rFonts w:ascii="Arial" w:eastAsia="Arial" w:hAnsi="Arial" w:cs="Arial"/>
              <w:color w:val="000000"/>
              <w:sz w:val="20"/>
              <w:szCs w:val="20"/>
            </w:rPr>
          </w:pPr>
          <w:r>
            <w:fldChar w:fldCharType="end"/>
          </w:r>
        </w:p>
      </w:sdtContent>
    </w:sdt>
    <w:p w14:paraId="58732DA0" w14:textId="77777777"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br/>
      </w:r>
      <w:r>
        <w:br w:type="page"/>
      </w:r>
    </w:p>
    <w:p w14:paraId="55AA3E92" w14:textId="77777777"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lastRenderedPageBreak/>
        <w:t>List of boxes</w:t>
      </w:r>
    </w:p>
    <w:p w14:paraId="7F2F5302"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Box 1. Indonesia’s biofuel policy………………………………………………………………………………………..24</w:t>
      </w:r>
    </w:p>
    <w:p w14:paraId="55906A1D"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Box 2. Choice of the carbon price……………………………………………………………………………………....37</w:t>
      </w:r>
    </w:p>
    <w:p w14:paraId="2043B414" w14:textId="77777777" w:rsidR="00A031A6" w:rsidRDefault="00916FD0">
      <w:pPr>
        <w:spacing w:after="0" w:line="360" w:lineRule="auto"/>
        <w:rPr>
          <w:rFonts w:ascii="Arial" w:eastAsia="Arial" w:hAnsi="Arial" w:cs="Arial"/>
          <w:sz w:val="20"/>
          <w:szCs w:val="20"/>
        </w:rPr>
      </w:pPr>
      <w:r>
        <w:rPr>
          <w:rFonts w:ascii="Arial" w:eastAsia="Arial" w:hAnsi="Arial" w:cs="Arial"/>
          <w:sz w:val="20"/>
          <w:szCs w:val="20"/>
        </w:rPr>
        <w:t>Box 3. Enhancing Nationally Determined Contributions …………………………………………………………....40</w:t>
      </w:r>
    </w:p>
    <w:p w14:paraId="6060191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Box 4. Coal power plants represent an enormous financial risk to shareholders and investors…………………41</w:t>
      </w:r>
    </w:p>
    <w:p w14:paraId="61AE64AF" w14:textId="77777777" w:rsidR="00A031A6" w:rsidRDefault="00A031A6">
      <w:pPr>
        <w:spacing w:line="360" w:lineRule="auto"/>
        <w:jc w:val="both"/>
        <w:rPr>
          <w:rFonts w:ascii="Arial" w:eastAsia="Arial" w:hAnsi="Arial" w:cs="Arial"/>
          <w:sz w:val="20"/>
          <w:szCs w:val="20"/>
        </w:rPr>
      </w:pPr>
    </w:p>
    <w:p w14:paraId="7A5980A9" w14:textId="77777777"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t>List of figures</w:t>
      </w:r>
    </w:p>
    <w:sdt>
      <w:sdtPr>
        <w:id w:val="376979489"/>
        <w:docPartObj>
          <w:docPartGallery w:val="Table of Contents"/>
          <w:docPartUnique/>
        </w:docPartObj>
      </w:sdtPr>
      <w:sdtEndPr/>
      <w:sdtContent>
        <w:p w14:paraId="56A9D399" w14:textId="77777777" w:rsidR="00A031A6" w:rsidRDefault="00916FD0">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r>
            <w:fldChar w:fldCharType="begin"/>
          </w:r>
          <w:r>
            <w:instrText xml:space="preserve"> TOC \h \u \z </w:instrText>
          </w:r>
          <w:r>
            <w:fldChar w:fldCharType="separate"/>
          </w:r>
          <w:hyperlink w:anchor="_3dy6vkm">
            <w:r>
              <w:rPr>
                <w:rFonts w:ascii="Arial" w:eastAsia="Arial" w:hAnsi="Arial" w:cs="Arial"/>
                <w:color w:val="000000"/>
                <w:sz w:val="20"/>
                <w:szCs w:val="20"/>
              </w:rPr>
              <w:t>Figure ES 1. Indonesian access to clean cooking</w:t>
            </w:r>
            <w:r>
              <w:rPr>
                <w:rFonts w:ascii="Arial" w:eastAsia="Arial" w:hAnsi="Arial" w:cs="Arial"/>
                <w:color w:val="000000"/>
                <w:sz w:val="20"/>
                <w:szCs w:val="20"/>
              </w:rPr>
              <w:tab/>
              <w:t>2</w:t>
            </w:r>
          </w:hyperlink>
        </w:p>
        <w:p w14:paraId="4C276654"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s8eyo1">
            <w:r w:rsidR="00916FD0">
              <w:rPr>
                <w:rFonts w:ascii="Arial" w:eastAsia="Arial" w:hAnsi="Arial" w:cs="Arial"/>
                <w:color w:val="000000"/>
                <w:sz w:val="20"/>
                <w:szCs w:val="20"/>
              </w:rPr>
              <w:t>Figure ES 2. Indonesia energy efficiency target</w:t>
            </w:r>
            <w:r w:rsidR="00916FD0">
              <w:rPr>
                <w:rFonts w:ascii="Arial" w:eastAsia="Arial" w:hAnsi="Arial" w:cs="Arial"/>
                <w:color w:val="000000"/>
                <w:sz w:val="20"/>
                <w:szCs w:val="20"/>
              </w:rPr>
              <w:tab/>
              <w:t>3</w:t>
            </w:r>
          </w:hyperlink>
        </w:p>
        <w:p w14:paraId="1E8D84E0"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rdcrjn">
            <w:r w:rsidR="00916FD0">
              <w:rPr>
                <w:rFonts w:ascii="Arial" w:eastAsia="Arial" w:hAnsi="Arial" w:cs="Arial"/>
                <w:color w:val="000000"/>
                <w:sz w:val="20"/>
                <w:szCs w:val="20"/>
              </w:rPr>
              <w:t>Figure ES 3. Comparison of emissions by scenarios, 2000-2030</w:t>
            </w:r>
            <w:r w:rsidR="00916FD0">
              <w:rPr>
                <w:rFonts w:ascii="Arial" w:eastAsia="Arial" w:hAnsi="Arial" w:cs="Arial"/>
                <w:color w:val="000000"/>
                <w:sz w:val="20"/>
                <w:szCs w:val="20"/>
              </w:rPr>
              <w:tab/>
              <w:t>4</w:t>
            </w:r>
          </w:hyperlink>
          <w:r w:rsidR="00916FD0">
            <w:fldChar w:fldCharType="end"/>
          </w:r>
        </w:p>
      </w:sdtContent>
    </w:sdt>
    <w:p w14:paraId="362F4F7B" w14:textId="77777777" w:rsidR="00A031A6" w:rsidRDefault="00916FD0">
      <w:pPr>
        <w:tabs>
          <w:tab w:val="left" w:pos="7639"/>
        </w:tabs>
        <w:spacing w:after="0" w:line="360" w:lineRule="auto"/>
        <w:rPr>
          <w:rFonts w:ascii="Arial" w:eastAsia="Arial" w:hAnsi="Arial" w:cs="Arial"/>
          <w:sz w:val="20"/>
          <w:szCs w:val="20"/>
        </w:rPr>
      </w:pPr>
      <w:r>
        <w:rPr>
          <w:rFonts w:ascii="Arial" w:eastAsia="Arial" w:hAnsi="Arial" w:cs="Arial"/>
          <w:sz w:val="20"/>
          <w:szCs w:val="20"/>
        </w:rPr>
        <w:t>Figure ES 4. Forecast of Indonesia’s SDG7 and NDC targets by 2030 …...……….………………………………6</w:t>
      </w:r>
    </w:p>
    <w:sdt>
      <w:sdtPr>
        <w:id w:val="-1776007945"/>
        <w:docPartObj>
          <w:docPartGallery w:val="Table of Contents"/>
          <w:docPartUnique/>
        </w:docPartObj>
      </w:sdtPr>
      <w:sdtEndPr/>
      <w:sdtContent>
        <w:p w14:paraId="5008EDCF" w14:textId="77777777" w:rsidR="00A031A6" w:rsidRDefault="00916FD0">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r>
            <w:fldChar w:fldCharType="begin"/>
          </w:r>
          <w:r>
            <w:instrText xml:space="preserve"> TOC \h \u \z </w:instrText>
          </w:r>
          <w:r>
            <w:fldChar w:fldCharType="separate"/>
          </w:r>
          <w:hyperlink w:anchor="_1ci93xb">
            <w:r>
              <w:rPr>
                <w:rFonts w:ascii="Arial" w:eastAsia="Arial" w:hAnsi="Arial" w:cs="Arial"/>
                <w:color w:val="000000"/>
                <w:sz w:val="20"/>
                <w:szCs w:val="20"/>
              </w:rPr>
              <w:t>Figure 1. Different components of the NEXSTEP methodology</w:t>
            </w:r>
            <w:r>
              <w:rPr>
                <w:rFonts w:ascii="Arial" w:eastAsia="Arial" w:hAnsi="Arial" w:cs="Arial"/>
                <w:color w:val="000000"/>
                <w:sz w:val="20"/>
                <w:szCs w:val="20"/>
              </w:rPr>
              <w:tab/>
              <w:t>10</w:t>
            </w:r>
          </w:hyperlink>
        </w:p>
        <w:p w14:paraId="01980D06"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ihv636">
            <w:r w:rsidR="00916FD0">
              <w:rPr>
                <w:rFonts w:ascii="Arial" w:eastAsia="Arial" w:hAnsi="Arial" w:cs="Arial"/>
                <w:color w:val="000000"/>
                <w:sz w:val="20"/>
                <w:szCs w:val="20"/>
              </w:rPr>
              <w:t>Figure 2. Indonesia’s RUPTL 2019-2028 planned capacity expansion</w:t>
            </w:r>
            <w:r w:rsidR="00916FD0">
              <w:rPr>
                <w:rFonts w:ascii="Arial" w:eastAsia="Arial" w:hAnsi="Arial" w:cs="Arial"/>
                <w:color w:val="000000"/>
                <w:sz w:val="20"/>
                <w:szCs w:val="20"/>
              </w:rPr>
              <w:tab/>
              <w:t>13</w:t>
            </w:r>
          </w:hyperlink>
        </w:p>
        <w:p w14:paraId="41384518"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9c6y18">
            <w:r w:rsidR="00916FD0">
              <w:rPr>
                <w:rFonts w:ascii="Arial" w:eastAsia="Arial" w:hAnsi="Arial" w:cs="Arial"/>
                <w:color w:val="000000"/>
                <w:sz w:val="20"/>
                <w:szCs w:val="20"/>
              </w:rPr>
              <w:t>Figure 3. Total Primary Energy Supply, 2018</w:t>
            </w:r>
            <w:r w:rsidR="00916FD0">
              <w:rPr>
                <w:rFonts w:ascii="Arial" w:eastAsia="Arial" w:hAnsi="Arial" w:cs="Arial"/>
                <w:color w:val="000000"/>
                <w:sz w:val="20"/>
                <w:szCs w:val="20"/>
              </w:rPr>
              <w:tab/>
              <w:t>16</w:t>
            </w:r>
          </w:hyperlink>
        </w:p>
        <w:p w14:paraId="26BF801D"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tbugp1">
            <w:r w:rsidR="00916FD0">
              <w:rPr>
                <w:rFonts w:ascii="Arial" w:eastAsia="Arial" w:hAnsi="Arial" w:cs="Arial"/>
                <w:color w:val="000000"/>
                <w:sz w:val="20"/>
                <w:szCs w:val="20"/>
              </w:rPr>
              <w:t>Figure 4. Total Final Energy Consumption, 2018</w:t>
            </w:r>
            <w:r w:rsidR="00916FD0">
              <w:rPr>
                <w:rFonts w:ascii="Arial" w:eastAsia="Arial" w:hAnsi="Arial" w:cs="Arial"/>
                <w:color w:val="000000"/>
                <w:sz w:val="20"/>
                <w:szCs w:val="20"/>
              </w:rPr>
              <w:tab/>
              <w:t>16</w:t>
            </w:r>
          </w:hyperlink>
        </w:p>
        <w:p w14:paraId="1BA2A809"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mrcu09">
            <w:r w:rsidR="00916FD0">
              <w:rPr>
                <w:rFonts w:ascii="Arial" w:eastAsia="Arial" w:hAnsi="Arial" w:cs="Arial"/>
                <w:color w:val="000000"/>
                <w:sz w:val="20"/>
                <w:szCs w:val="20"/>
              </w:rPr>
              <w:t>Figure 5 Indonesia’s energy demand outlook, 2020 - 2030</w:t>
            </w:r>
            <w:r w:rsidR="00916FD0">
              <w:rPr>
                <w:rFonts w:ascii="Arial" w:eastAsia="Arial" w:hAnsi="Arial" w:cs="Arial"/>
                <w:color w:val="000000"/>
                <w:sz w:val="20"/>
                <w:szCs w:val="20"/>
              </w:rPr>
              <w:tab/>
              <w:t>17</w:t>
            </w:r>
          </w:hyperlink>
        </w:p>
        <w:p w14:paraId="4A153065"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ygebqi">
            <w:r w:rsidR="00916FD0">
              <w:rPr>
                <w:rFonts w:ascii="Arial" w:eastAsia="Arial" w:hAnsi="Arial" w:cs="Arial"/>
                <w:color w:val="000000"/>
                <w:sz w:val="20"/>
                <w:szCs w:val="20"/>
              </w:rPr>
              <w:t>Figure 6 Indonesia installed capacity expansion, 2020 - 2030</w:t>
            </w:r>
            <w:r w:rsidR="00916FD0">
              <w:rPr>
                <w:rFonts w:ascii="Arial" w:eastAsia="Arial" w:hAnsi="Arial" w:cs="Arial"/>
                <w:color w:val="000000"/>
                <w:sz w:val="20"/>
                <w:szCs w:val="20"/>
              </w:rPr>
              <w:tab/>
              <w:t>19</w:t>
            </w:r>
          </w:hyperlink>
        </w:p>
        <w:p w14:paraId="29EE6557"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rvwp1q">
            <w:r w:rsidR="00916FD0">
              <w:rPr>
                <w:rFonts w:ascii="Arial" w:eastAsia="Arial" w:hAnsi="Arial" w:cs="Arial"/>
                <w:color w:val="000000"/>
                <w:sz w:val="20"/>
                <w:szCs w:val="20"/>
              </w:rPr>
              <w:t>Figure 7 Indonesia primary energy supply, by fuel share</w:t>
            </w:r>
            <w:r w:rsidR="00916FD0">
              <w:rPr>
                <w:rFonts w:ascii="Arial" w:eastAsia="Arial" w:hAnsi="Arial" w:cs="Arial"/>
                <w:color w:val="000000"/>
                <w:sz w:val="20"/>
                <w:szCs w:val="20"/>
              </w:rPr>
              <w:tab/>
              <w:t>20</w:t>
            </w:r>
          </w:hyperlink>
        </w:p>
        <w:p w14:paraId="39B27B7E"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q5sasy">
            <w:r w:rsidR="00916FD0">
              <w:rPr>
                <w:rFonts w:ascii="Arial" w:eastAsia="Arial" w:hAnsi="Arial" w:cs="Arial"/>
                <w:color w:val="000000"/>
                <w:sz w:val="20"/>
                <w:szCs w:val="20"/>
              </w:rPr>
              <w:t>Figure 8 Indonesia energy sector emissions outlook, 2020 -2030</w:t>
            </w:r>
            <w:r w:rsidR="00916FD0">
              <w:rPr>
                <w:rFonts w:ascii="Arial" w:eastAsia="Arial" w:hAnsi="Arial" w:cs="Arial"/>
                <w:color w:val="000000"/>
                <w:sz w:val="20"/>
                <w:szCs w:val="20"/>
              </w:rPr>
              <w:tab/>
              <w:t>21</w:t>
            </w:r>
          </w:hyperlink>
        </w:p>
        <w:p w14:paraId="0F387628"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kgcv8k">
            <w:r w:rsidR="00916FD0">
              <w:rPr>
                <w:rFonts w:ascii="Arial" w:eastAsia="Arial" w:hAnsi="Arial" w:cs="Arial"/>
                <w:color w:val="000000"/>
                <w:sz w:val="20"/>
                <w:szCs w:val="20"/>
              </w:rPr>
              <w:t>Figure 9. Projection of TFEC, by scenario and sector, 2020 - 2030</w:t>
            </w:r>
            <w:r w:rsidR="00916FD0">
              <w:rPr>
                <w:rFonts w:ascii="Arial" w:eastAsia="Arial" w:hAnsi="Arial" w:cs="Arial"/>
                <w:color w:val="000000"/>
                <w:sz w:val="20"/>
                <w:szCs w:val="20"/>
              </w:rPr>
              <w:tab/>
              <w:t>22</w:t>
            </w:r>
          </w:hyperlink>
        </w:p>
        <w:p w14:paraId="041986CB"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xvir7l">
            <w:r w:rsidR="00916FD0">
              <w:rPr>
                <w:rFonts w:ascii="Arial" w:eastAsia="Arial" w:hAnsi="Arial" w:cs="Arial"/>
                <w:color w:val="000000"/>
                <w:sz w:val="20"/>
                <w:szCs w:val="20"/>
              </w:rPr>
              <w:t>Figure 10. Fuel mix for clean cooking, by scenario, 2030</w:t>
            </w:r>
            <w:r w:rsidR="00916FD0">
              <w:rPr>
                <w:rFonts w:ascii="Arial" w:eastAsia="Arial" w:hAnsi="Arial" w:cs="Arial"/>
                <w:color w:val="000000"/>
                <w:sz w:val="20"/>
                <w:szCs w:val="20"/>
              </w:rPr>
              <w:tab/>
              <w:t>23</w:t>
            </w:r>
          </w:hyperlink>
        </w:p>
        <w:p w14:paraId="6254DE4E"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w5ecyt">
            <w:r w:rsidR="00916FD0">
              <w:rPr>
                <w:rFonts w:ascii="Arial" w:eastAsia="Arial" w:hAnsi="Arial" w:cs="Arial"/>
                <w:color w:val="000000"/>
                <w:sz w:val="20"/>
                <w:szCs w:val="20"/>
              </w:rPr>
              <w:t>Figure 11. Renewable energy in TFEC, 2030</w:t>
            </w:r>
            <w:r w:rsidR="00916FD0">
              <w:rPr>
                <w:rFonts w:ascii="Arial" w:eastAsia="Arial" w:hAnsi="Arial" w:cs="Arial"/>
                <w:color w:val="000000"/>
                <w:sz w:val="20"/>
                <w:szCs w:val="20"/>
              </w:rPr>
              <w:tab/>
              <w:t>23</w:t>
            </w:r>
          </w:hyperlink>
        </w:p>
        <w:p w14:paraId="6CE137E4"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pkwqa1">
            <w:r w:rsidR="00916FD0">
              <w:rPr>
                <w:rFonts w:ascii="Arial" w:eastAsia="Arial" w:hAnsi="Arial" w:cs="Arial"/>
                <w:color w:val="000000"/>
                <w:sz w:val="20"/>
                <w:szCs w:val="20"/>
              </w:rPr>
              <w:t>Figure 12. Energy efficiency savings in the SDG scenario</w:t>
            </w:r>
            <w:r w:rsidR="00916FD0">
              <w:rPr>
                <w:rFonts w:ascii="Arial" w:eastAsia="Arial" w:hAnsi="Arial" w:cs="Arial"/>
                <w:color w:val="000000"/>
                <w:sz w:val="20"/>
                <w:szCs w:val="20"/>
              </w:rPr>
              <w:tab/>
              <w:t>25</w:t>
            </w:r>
          </w:hyperlink>
        </w:p>
        <w:p w14:paraId="172A12B4"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opuj5n">
            <w:r w:rsidR="00916FD0">
              <w:rPr>
                <w:rFonts w:ascii="Arial" w:eastAsia="Arial" w:hAnsi="Arial" w:cs="Arial"/>
                <w:color w:val="000000"/>
                <w:sz w:val="20"/>
                <w:szCs w:val="20"/>
              </w:rPr>
              <w:t>Figure 13. Emissions by scenario, 2030</w:t>
            </w:r>
            <w:r w:rsidR="00916FD0">
              <w:rPr>
                <w:rFonts w:ascii="Arial" w:eastAsia="Arial" w:hAnsi="Arial" w:cs="Arial"/>
                <w:color w:val="000000"/>
                <w:sz w:val="20"/>
                <w:szCs w:val="20"/>
              </w:rPr>
              <w:tab/>
              <w:t>26</w:t>
            </w:r>
          </w:hyperlink>
        </w:p>
        <w:p w14:paraId="441C3405"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nusc19">
            <w:r w:rsidR="00916FD0">
              <w:rPr>
                <w:rFonts w:ascii="Arial" w:eastAsia="Arial" w:hAnsi="Arial" w:cs="Arial"/>
                <w:color w:val="000000"/>
                <w:sz w:val="20"/>
                <w:szCs w:val="20"/>
              </w:rPr>
              <w:t>Figure 14. Electricity demand, by sector, 2030 – all scenarios</w:t>
            </w:r>
            <w:r w:rsidR="00916FD0">
              <w:rPr>
                <w:rFonts w:ascii="Arial" w:eastAsia="Arial" w:hAnsi="Arial" w:cs="Arial"/>
                <w:color w:val="000000"/>
                <w:sz w:val="20"/>
                <w:szCs w:val="20"/>
              </w:rPr>
              <w:tab/>
              <w:t>26</w:t>
            </w:r>
          </w:hyperlink>
        </w:p>
        <w:p w14:paraId="0904793D"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302m92">
            <w:r w:rsidR="00916FD0">
              <w:rPr>
                <w:rFonts w:ascii="Arial" w:eastAsia="Arial" w:hAnsi="Arial" w:cs="Arial"/>
                <w:color w:val="000000"/>
                <w:sz w:val="20"/>
                <w:szCs w:val="20"/>
              </w:rPr>
              <w:t>Figure 15. Renewable power generation, 2030</w:t>
            </w:r>
            <w:r w:rsidR="00916FD0">
              <w:rPr>
                <w:rFonts w:ascii="Arial" w:eastAsia="Arial" w:hAnsi="Arial" w:cs="Arial"/>
                <w:color w:val="000000"/>
                <w:sz w:val="20"/>
                <w:szCs w:val="20"/>
              </w:rPr>
              <w:tab/>
              <w:t>27</w:t>
            </w:r>
          </w:hyperlink>
        </w:p>
        <w:p w14:paraId="0BABCF56"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mzq4wv">
            <w:r w:rsidR="00916FD0">
              <w:rPr>
                <w:rFonts w:ascii="Arial" w:eastAsia="Arial" w:hAnsi="Arial" w:cs="Arial"/>
                <w:color w:val="000000"/>
                <w:sz w:val="20"/>
                <w:szCs w:val="20"/>
              </w:rPr>
              <w:t>Figure 16 Installed electric power generation capacity, 2030</w:t>
            </w:r>
            <w:r w:rsidR="00916FD0">
              <w:rPr>
                <w:rFonts w:ascii="Arial" w:eastAsia="Arial" w:hAnsi="Arial" w:cs="Arial"/>
                <w:color w:val="000000"/>
                <w:sz w:val="20"/>
                <w:szCs w:val="20"/>
              </w:rPr>
              <w:tab/>
              <w:t>27</w:t>
            </w:r>
          </w:hyperlink>
        </w:p>
        <w:p w14:paraId="593DD63B"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ep43zb">
            <w:r w:rsidR="00916FD0">
              <w:rPr>
                <w:rFonts w:ascii="Arial" w:eastAsia="Arial" w:hAnsi="Arial" w:cs="Arial"/>
                <w:color w:val="000000"/>
                <w:sz w:val="20"/>
                <w:szCs w:val="20"/>
              </w:rPr>
              <w:t>Figure 17. Investment cost of energy transition in the power sector in different scenarios</w:t>
            </w:r>
            <w:r w:rsidR="00916FD0">
              <w:rPr>
                <w:rFonts w:ascii="Arial" w:eastAsia="Arial" w:hAnsi="Arial" w:cs="Arial"/>
                <w:color w:val="000000"/>
                <w:sz w:val="20"/>
                <w:szCs w:val="20"/>
              </w:rPr>
              <w:tab/>
              <w:t>32</w:t>
            </w:r>
          </w:hyperlink>
        </w:p>
        <w:p w14:paraId="345073EB"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1tuee74">
            <w:r w:rsidR="00916FD0">
              <w:rPr>
                <w:rFonts w:ascii="Arial" w:eastAsia="Arial" w:hAnsi="Arial" w:cs="Arial"/>
                <w:color w:val="000000"/>
                <w:sz w:val="20"/>
                <w:szCs w:val="20"/>
              </w:rPr>
              <w:t>Figure 18. Additional annual investment for different targets in the SDG scenario</w:t>
            </w:r>
            <w:r w:rsidR="00916FD0">
              <w:rPr>
                <w:rFonts w:ascii="Arial" w:eastAsia="Arial" w:hAnsi="Arial" w:cs="Arial"/>
                <w:color w:val="000000"/>
                <w:sz w:val="20"/>
                <w:szCs w:val="20"/>
              </w:rPr>
              <w:tab/>
              <w:t>33</w:t>
            </w:r>
          </w:hyperlink>
        </w:p>
        <w:p w14:paraId="0D7BDA16"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szc72q">
            <w:r w:rsidR="00916FD0">
              <w:rPr>
                <w:rFonts w:ascii="Arial" w:eastAsia="Arial" w:hAnsi="Arial" w:cs="Arial"/>
                <w:color w:val="000000"/>
                <w:sz w:val="20"/>
                <w:szCs w:val="20"/>
              </w:rPr>
              <w:t>Figure 19. Net benefits from the power sector</w:t>
            </w:r>
            <w:r w:rsidR="00916FD0">
              <w:rPr>
                <w:rFonts w:ascii="Arial" w:eastAsia="Arial" w:hAnsi="Arial" w:cs="Arial"/>
                <w:color w:val="000000"/>
                <w:sz w:val="20"/>
                <w:szCs w:val="20"/>
              </w:rPr>
              <w:tab/>
              <w:t>34</w:t>
            </w:r>
          </w:hyperlink>
        </w:p>
        <w:p w14:paraId="636A3E0E"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s49zyc">
            <w:r w:rsidR="00916FD0">
              <w:rPr>
                <w:rFonts w:ascii="Arial" w:eastAsia="Arial" w:hAnsi="Arial" w:cs="Arial"/>
                <w:color w:val="000000"/>
                <w:sz w:val="20"/>
                <w:szCs w:val="20"/>
              </w:rPr>
              <w:t>Figure 20. LCOE of different power plant technologies in Indonesia</w:t>
            </w:r>
            <w:r w:rsidR="00916FD0">
              <w:rPr>
                <w:rFonts w:ascii="Arial" w:eastAsia="Arial" w:hAnsi="Arial" w:cs="Arial"/>
                <w:color w:val="000000"/>
                <w:sz w:val="20"/>
                <w:szCs w:val="20"/>
              </w:rPr>
              <w:tab/>
              <w:t>35</w:t>
            </w:r>
          </w:hyperlink>
        </w:p>
        <w:p w14:paraId="7DDB8489"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bj1y38">
            <w:r w:rsidR="00916FD0">
              <w:rPr>
                <w:rFonts w:ascii="Arial" w:eastAsia="Arial" w:hAnsi="Arial" w:cs="Arial"/>
                <w:color w:val="000000"/>
                <w:sz w:val="20"/>
                <w:szCs w:val="20"/>
              </w:rPr>
              <w:t>Figure 21. Investment gap – enhancing NDC with reduced coal and fossil fuel subsidy</w:t>
            </w:r>
            <w:r w:rsidR="00916FD0">
              <w:rPr>
                <w:rFonts w:ascii="Arial" w:eastAsia="Arial" w:hAnsi="Arial" w:cs="Arial"/>
                <w:color w:val="000000"/>
                <w:sz w:val="20"/>
                <w:szCs w:val="20"/>
              </w:rPr>
              <w:tab/>
              <w:t>45</w:t>
            </w:r>
          </w:hyperlink>
        </w:p>
        <w:p w14:paraId="697879B9"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243i4a2">
            <w:r w:rsidR="00916FD0">
              <w:rPr>
                <w:rFonts w:ascii="Arial" w:eastAsia="Arial" w:hAnsi="Arial" w:cs="Arial"/>
                <w:color w:val="000000"/>
                <w:sz w:val="20"/>
                <w:szCs w:val="20"/>
              </w:rPr>
              <w:t>Figure 22. Energy efficiency measures</w:t>
            </w:r>
            <w:r w:rsidR="00916FD0">
              <w:rPr>
                <w:rFonts w:ascii="Arial" w:eastAsia="Arial" w:hAnsi="Arial" w:cs="Arial"/>
                <w:color w:val="000000"/>
                <w:sz w:val="20"/>
                <w:szCs w:val="20"/>
              </w:rPr>
              <w:tab/>
              <w:t>47</w:t>
            </w:r>
          </w:hyperlink>
        </w:p>
        <w:p w14:paraId="4DE29515"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38fx5o">
            <w:r w:rsidR="00916FD0">
              <w:rPr>
                <w:rFonts w:ascii="Arial" w:eastAsia="Arial" w:hAnsi="Arial" w:cs="Arial"/>
                <w:color w:val="000000"/>
                <w:sz w:val="20"/>
                <w:szCs w:val="20"/>
              </w:rPr>
              <w:t>Figure 23. Marginal abatement cost curve of selected technologies</w:t>
            </w:r>
            <w:r w:rsidR="00916FD0">
              <w:rPr>
                <w:rFonts w:ascii="Arial" w:eastAsia="Arial" w:hAnsi="Arial" w:cs="Arial"/>
                <w:color w:val="000000"/>
                <w:sz w:val="20"/>
                <w:szCs w:val="20"/>
              </w:rPr>
              <w:tab/>
              <w:t>48</w:t>
            </w:r>
          </w:hyperlink>
        </w:p>
        <w:p w14:paraId="087E2F88"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qbtyoq">
            <w:r w:rsidR="00916FD0">
              <w:rPr>
                <w:rFonts w:ascii="Arial" w:eastAsia="Arial" w:hAnsi="Arial" w:cs="Arial"/>
                <w:color w:val="000000"/>
                <w:sz w:val="20"/>
                <w:szCs w:val="20"/>
              </w:rPr>
              <w:t>Figure 24 Power generation technology mix for different scenarios</w:t>
            </w:r>
            <w:r w:rsidR="00916FD0">
              <w:rPr>
                <w:rFonts w:ascii="Arial" w:eastAsia="Arial" w:hAnsi="Arial" w:cs="Arial"/>
                <w:color w:val="000000"/>
                <w:sz w:val="20"/>
                <w:szCs w:val="20"/>
              </w:rPr>
              <w:tab/>
              <w:t>65</w:t>
            </w:r>
          </w:hyperlink>
        </w:p>
        <w:p w14:paraId="6BF23345" w14:textId="77777777" w:rsidR="00A031A6" w:rsidRDefault="00105476">
          <w:pPr>
            <w:pBdr>
              <w:top w:val="nil"/>
              <w:left w:val="nil"/>
              <w:bottom w:val="nil"/>
              <w:right w:val="nil"/>
              <w:between w:val="nil"/>
            </w:pBdr>
            <w:tabs>
              <w:tab w:val="right" w:pos="9742"/>
            </w:tabs>
            <w:spacing w:after="0" w:line="360" w:lineRule="auto"/>
            <w:rPr>
              <w:rFonts w:ascii="Arial" w:eastAsia="Arial" w:hAnsi="Arial" w:cs="Arial"/>
              <w:color w:val="000000"/>
              <w:sz w:val="20"/>
              <w:szCs w:val="20"/>
            </w:rPr>
          </w:pPr>
          <w:hyperlink w:anchor="_3jd0qos">
            <w:r w:rsidR="00916FD0">
              <w:rPr>
                <w:rFonts w:ascii="Arial" w:eastAsia="Arial" w:hAnsi="Arial" w:cs="Arial"/>
                <w:color w:val="000000"/>
                <w:sz w:val="20"/>
                <w:szCs w:val="20"/>
              </w:rPr>
              <w:t>Figure 25. Sankey diagram showing energy flow in 2030 under the SDG scenario</w:t>
            </w:r>
            <w:r w:rsidR="00916FD0">
              <w:rPr>
                <w:rFonts w:ascii="Arial" w:eastAsia="Arial" w:hAnsi="Arial" w:cs="Arial"/>
                <w:color w:val="000000"/>
                <w:sz w:val="20"/>
                <w:szCs w:val="20"/>
              </w:rPr>
              <w:tab/>
              <w:t>86</w:t>
            </w:r>
          </w:hyperlink>
        </w:p>
        <w:p w14:paraId="45A5C71E" w14:textId="77777777" w:rsidR="00A031A6" w:rsidRDefault="00916FD0">
          <w:pPr>
            <w:spacing w:after="0" w:line="360" w:lineRule="auto"/>
            <w:jc w:val="both"/>
            <w:rPr>
              <w:rFonts w:ascii="Arial" w:eastAsia="Arial" w:hAnsi="Arial" w:cs="Arial"/>
              <w:color w:val="00B0F0"/>
              <w:sz w:val="20"/>
              <w:szCs w:val="20"/>
            </w:rPr>
          </w:pPr>
          <w:r>
            <w:fldChar w:fldCharType="end"/>
          </w:r>
        </w:p>
      </w:sdtContent>
    </w:sdt>
    <w:p w14:paraId="03D496DB" w14:textId="77777777" w:rsidR="00A031A6" w:rsidRDefault="00916FD0">
      <w:pPr>
        <w:spacing w:after="60" w:line="360" w:lineRule="auto"/>
        <w:jc w:val="center"/>
        <w:rPr>
          <w:rFonts w:ascii="Arial" w:eastAsia="Arial" w:hAnsi="Arial" w:cs="Arial"/>
          <w:b/>
          <w:sz w:val="20"/>
          <w:szCs w:val="20"/>
        </w:rPr>
      </w:pPr>
      <w:r>
        <w:rPr>
          <w:rFonts w:ascii="Arial" w:eastAsia="Arial" w:hAnsi="Arial" w:cs="Arial"/>
          <w:b/>
          <w:sz w:val="20"/>
          <w:szCs w:val="20"/>
        </w:rPr>
        <w:t>List of tables</w:t>
      </w:r>
    </w:p>
    <w:sdt>
      <w:sdtPr>
        <w:id w:val="336816386"/>
        <w:docPartObj>
          <w:docPartGallery w:val="Table of Contents"/>
          <w:docPartUnique/>
        </w:docPartObj>
      </w:sdtPr>
      <w:sdtEndPr/>
      <w:sdtContent>
        <w:p w14:paraId="0DABF194" w14:textId="77777777" w:rsidR="00A031A6" w:rsidRDefault="00916FD0">
          <w:pPr>
            <w:tabs>
              <w:tab w:val="right" w:pos="9742"/>
            </w:tabs>
            <w:spacing w:after="0" w:line="360" w:lineRule="auto"/>
            <w:rPr>
              <w:rFonts w:ascii="Arial" w:eastAsia="Arial" w:hAnsi="Arial" w:cs="Arial"/>
              <w:sz w:val="20"/>
              <w:szCs w:val="20"/>
            </w:rPr>
          </w:pPr>
          <w:r>
            <w:fldChar w:fldCharType="begin"/>
          </w:r>
          <w:r>
            <w:instrText xml:space="preserve"> TOC \h \u \z </w:instrText>
          </w:r>
          <w:r>
            <w:fldChar w:fldCharType="separate"/>
          </w:r>
          <w:hyperlink w:anchor="_41mghml">
            <w:r>
              <w:rPr>
                <w:rFonts w:ascii="Arial" w:eastAsia="Arial" w:hAnsi="Arial" w:cs="Arial"/>
                <w:sz w:val="20"/>
                <w:szCs w:val="20"/>
              </w:rPr>
              <w:t>Table 1. Important factors, targets and assumptions used in modelling</w:t>
            </w:r>
            <w:r>
              <w:rPr>
                <w:rFonts w:ascii="Arial" w:eastAsia="Arial" w:hAnsi="Arial" w:cs="Arial"/>
                <w:sz w:val="20"/>
                <w:szCs w:val="20"/>
              </w:rPr>
              <w:tab/>
              <w:t>14</w:t>
            </w:r>
          </w:hyperlink>
        </w:p>
        <w:p w14:paraId="185F8014" w14:textId="77777777" w:rsidR="00A031A6" w:rsidRDefault="00105476">
          <w:pPr>
            <w:tabs>
              <w:tab w:val="right" w:pos="9742"/>
            </w:tabs>
            <w:spacing w:after="0" w:line="360" w:lineRule="auto"/>
            <w:rPr>
              <w:rFonts w:ascii="Arial" w:eastAsia="Arial" w:hAnsi="Arial" w:cs="Arial"/>
              <w:sz w:val="20"/>
              <w:szCs w:val="20"/>
            </w:rPr>
          </w:pPr>
          <w:hyperlink w:anchor="_1v1yuxt">
            <w:r w:rsidR="00916FD0">
              <w:rPr>
                <w:rFonts w:ascii="Arial" w:eastAsia="Arial" w:hAnsi="Arial" w:cs="Arial"/>
                <w:sz w:val="20"/>
                <w:szCs w:val="20"/>
              </w:rPr>
              <w:t>Table 2. Renewable energy resource utilization</w:t>
            </w:r>
            <w:r w:rsidR="00916FD0">
              <w:rPr>
                <w:rFonts w:ascii="Arial" w:eastAsia="Arial" w:hAnsi="Arial" w:cs="Arial"/>
                <w:sz w:val="20"/>
                <w:szCs w:val="20"/>
              </w:rPr>
              <w:tab/>
              <w:t>15</w:t>
            </w:r>
          </w:hyperlink>
        </w:p>
        <w:p w14:paraId="22C1336B" w14:textId="77777777" w:rsidR="00A031A6" w:rsidRDefault="00105476">
          <w:pPr>
            <w:tabs>
              <w:tab w:val="right" w:pos="9742"/>
            </w:tabs>
            <w:spacing w:after="0" w:line="360" w:lineRule="auto"/>
            <w:rPr>
              <w:rFonts w:ascii="Arial" w:eastAsia="Arial" w:hAnsi="Arial" w:cs="Arial"/>
              <w:sz w:val="20"/>
              <w:szCs w:val="20"/>
            </w:rPr>
          </w:pPr>
          <w:hyperlink w:anchor="_1gf8i83">
            <w:r w:rsidR="00916FD0">
              <w:rPr>
                <w:rFonts w:ascii="Arial" w:eastAsia="Arial" w:hAnsi="Arial" w:cs="Arial"/>
                <w:sz w:val="20"/>
                <w:szCs w:val="20"/>
              </w:rPr>
              <w:t>Table 3. Annualized cost of cooking technologies</w:t>
            </w:r>
            <w:r w:rsidR="00916FD0">
              <w:rPr>
                <w:rFonts w:ascii="Arial" w:eastAsia="Arial" w:hAnsi="Arial" w:cs="Arial"/>
                <w:sz w:val="20"/>
                <w:szCs w:val="20"/>
              </w:rPr>
              <w:tab/>
              <w:t>28</w:t>
            </w:r>
          </w:hyperlink>
        </w:p>
        <w:p w14:paraId="68DE5387" w14:textId="77777777" w:rsidR="00A031A6" w:rsidRDefault="00105476">
          <w:pPr>
            <w:tabs>
              <w:tab w:val="right" w:pos="9742"/>
            </w:tabs>
            <w:spacing w:after="0" w:line="360" w:lineRule="auto"/>
            <w:rPr>
              <w:rFonts w:ascii="Arial" w:eastAsia="Arial" w:hAnsi="Arial" w:cs="Arial"/>
              <w:sz w:val="20"/>
              <w:szCs w:val="20"/>
            </w:rPr>
          </w:pPr>
          <w:hyperlink w:anchor="_1ljsd9k">
            <w:r w:rsidR="00916FD0">
              <w:rPr>
                <w:rFonts w:ascii="Arial" w:eastAsia="Arial" w:hAnsi="Arial" w:cs="Arial"/>
                <w:sz w:val="20"/>
                <w:szCs w:val="20"/>
              </w:rPr>
              <w:t>Table 4. Criteria with assigned weights for MCDA</w:t>
            </w:r>
            <w:r w:rsidR="00916FD0">
              <w:rPr>
                <w:rFonts w:ascii="Arial" w:eastAsia="Arial" w:hAnsi="Arial" w:cs="Arial"/>
                <w:sz w:val="20"/>
                <w:szCs w:val="20"/>
              </w:rPr>
              <w:tab/>
              <w:t>36</w:t>
            </w:r>
          </w:hyperlink>
        </w:p>
        <w:p w14:paraId="34376312" w14:textId="77777777" w:rsidR="00A031A6" w:rsidRDefault="00105476">
          <w:pPr>
            <w:tabs>
              <w:tab w:val="right" w:pos="9742"/>
            </w:tabs>
            <w:spacing w:after="0" w:line="360" w:lineRule="auto"/>
            <w:rPr>
              <w:rFonts w:ascii="Arial" w:eastAsia="Arial" w:hAnsi="Arial" w:cs="Arial"/>
              <w:sz w:val="20"/>
              <w:szCs w:val="20"/>
            </w:rPr>
          </w:pPr>
          <w:hyperlink w:anchor="_45jfvxd">
            <w:r w:rsidR="00916FD0">
              <w:rPr>
                <w:rFonts w:ascii="Arial" w:eastAsia="Arial" w:hAnsi="Arial" w:cs="Arial"/>
                <w:sz w:val="20"/>
                <w:szCs w:val="20"/>
              </w:rPr>
              <w:t>Table 5. Scenario ranking based on MCDA</w:t>
            </w:r>
            <w:r w:rsidR="00916FD0">
              <w:rPr>
                <w:rFonts w:ascii="Arial" w:eastAsia="Arial" w:hAnsi="Arial" w:cs="Arial"/>
                <w:sz w:val="20"/>
                <w:szCs w:val="20"/>
              </w:rPr>
              <w:tab/>
              <w:t>37</w:t>
            </w:r>
          </w:hyperlink>
        </w:p>
        <w:p w14:paraId="4BE07B23" w14:textId="77777777" w:rsidR="00A031A6" w:rsidRDefault="00105476">
          <w:pPr>
            <w:tabs>
              <w:tab w:val="right" w:pos="9742"/>
            </w:tabs>
            <w:spacing w:after="0" w:line="360" w:lineRule="auto"/>
            <w:rPr>
              <w:rFonts w:ascii="Arial" w:eastAsia="Arial" w:hAnsi="Arial" w:cs="Arial"/>
              <w:sz w:val="20"/>
              <w:szCs w:val="20"/>
            </w:rPr>
          </w:pPr>
          <w:hyperlink w:anchor="_3x8tuzt">
            <w:r w:rsidR="00916FD0">
              <w:rPr>
                <w:rFonts w:ascii="Arial" w:eastAsia="Arial" w:hAnsi="Arial" w:cs="Arial"/>
                <w:sz w:val="20"/>
                <w:szCs w:val="20"/>
              </w:rPr>
              <w:t>Table 6. Indonesia fossil fuel subsidy reform</w:t>
            </w:r>
            <w:r w:rsidR="00916FD0">
              <w:rPr>
                <w:rFonts w:ascii="Arial" w:eastAsia="Arial" w:hAnsi="Arial" w:cs="Arial"/>
                <w:sz w:val="20"/>
                <w:szCs w:val="20"/>
              </w:rPr>
              <w:tab/>
              <w:t>41</w:t>
            </w:r>
          </w:hyperlink>
        </w:p>
        <w:p w14:paraId="7DE0C022" w14:textId="77777777" w:rsidR="00A031A6" w:rsidRDefault="00916FD0">
          <w:pPr>
            <w:tabs>
              <w:tab w:val="right" w:pos="9742"/>
            </w:tabs>
            <w:spacing w:after="0" w:line="360" w:lineRule="auto"/>
            <w:rPr>
              <w:rFonts w:ascii="Arial" w:eastAsia="Arial" w:hAnsi="Arial" w:cs="Arial"/>
              <w:sz w:val="20"/>
              <w:szCs w:val="20"/>
            </w:rPr>
          </w:pPr>
          <w:r>
            <w:rPr>
              <w:rFonts w:ascii="Arial" w:eastAsia="Arial" w:hAnsi="Arial" w:cs="Arial"/>
              <w:sz w:val="20"/>
              <w:szCs w:val="20"/>
            </w:rPr>
            <w:t>Table 7. Evaluation of Indonesia’s current energy policies………………………………………………………….</w:t>
          </w:r>
        </w:p>
        <w:p w14:paraId="3237D110" w14:textId="77777777" w:rsidR="00A031A6" w:rsidRDefault="00916FD0">
          <w:pPr>
            <w:tabs>
              <w:tab w:val="right" w:pos="9742"/>
            </w:tabs>
            <w:spacing w:before="60" w:after="60" w:line="360" w:lineRule="auto"/>
            <w:rPr>
              <w:rFonts w:ascii="Arial" w:eastAsia="Arial" w:hAnsi="Arial" w:cs="Arial"/>
              <w:b/>
              <w:sz w:val="20"/>
              <w:szCs w:val="20"/>
            </w:rPr>
          </w:pPr>
          <w:r>
            <w:rPr>
              <w:rFonts w:ascii="Arial" w:eastAsia="Arial" w:hAnsi="Arial" w:cs="Arial"/>
              <w:b/>
              <w:sz w:val="20"/>
              <w:szCs w:val="20"/>
            </w:rPr>
            <w:t>Annexes</w:t>
          </w:r>
        </w:p>
        <w:p w14:paraId="225C1E44" w14:textId="77777777" w:rsidR="00A031A6" w:rsidRDefault="00105476">
          <w:pPr>
            <w:tabs>
              <w:tab w:val="right" w:pos="9742"/>
            </w:tabs>
            <w:spacing w:after="0" w:line="360" w:lineRule="auto"/>
            <w:rPr>
              <w:rFonts w:ascii="Arial" w:eastAsia="Arial" w:hAnsi="Arial" w:cs="Arial"/>
              <w:sz w:val="20"/>
              <w:szCs w:val="20"/>
            </w:rPr>
          </w:pPr>
          <w:hyperlink w:anchor="_3ls5o66">
            <w:r w:rsidR="00916FD0">
              <w:rPr>
                <w:rFonts w:ascii="Arial" w:eastAsia="Arial" w:hAnsi="Arial" w:cs="Arial"/>
                <w:sz w:val="20"/>
                <w:szCs w:val="20"/>
              </w:rPr>
              <w:t>Table 8. Targets and indicators for SDG 7</w:t>
            </w:r>
            <w:r w:rsidR="00916FD0">
              <w:rPr>
                <w:rFonts w:ascii="Arial" w:eastAsia="Arial" w:hAnsi="Arial" w:cs="Arial"/>
                <w:sz w:val="20"/>
                <w:szCs w:val="20"/>
              </w:rPr>
              <w:tab/>
              <w:t>55</w:t>
            </w:r>
          </w:hyperlink>
        </w:p>
        <w:p w14:paraId="4301ED2C" w14:textId="77777777" w:rsidR="00A031A6" w:rsidRDefault="00105476">
          <w:pPr>
            <w:tabs>
              <w:tab w:val="right" w:pos="9742"/>
            </w:tabs>
            <w:spacing w:after="0" w:line="360" w:lineRule="auto"/>
            <w:rPr>
              <w:rFonts w:ascii="Arial" w:eastAsia="Arial" w:hAnsi="Arial" w:cs="Arial"/>
              <w:sz w:val="20"/>
              <w:szCs w:val="20"/>
            </w:rPr>
          </w:pPr>
          <w:hyperlink w:anchor="_20xfydz">
            <w:r w:rsidR="00916FD0">
              <w:rPr>
                <w:rFonts w:ascii="Arial" w:eastAsia="Arial" w:hAnsi="Arial" w:cs="Arial"/>
                <w:sz w:val="20"/>
                <w:szCs w:val="20"/>
              </w:rPr>
              <w:t>Table 9 Energy sector emissions in 2030</w:t>
            </w:r>
            <w:r w:rsidR="00916FD0">
              <w:rPr>
                <w:rFonts w:ascii="Arial" w:eastAsia="Arial" w:hAnsi="Arial" w:cs="Arial"/>
                <w:sz w:val="20"/>
                <w:szCs w:val="20"/>
              </w:rPr>
              <w:tab/>
              <w:t>56</w:t>
            </w:r>
          </w:hyperlink>
        </w:p>
        <w:p w14:paraId="3BF47BFD" w14:textId="77777777" w:rsidR="00A031A6" w:rsidRDefault="00105476">
          <w:pPr>
            <w:tabs>
              <w:tab w:val="right" w:pos="9742"/>
            </w:tabs>
            <w:spacing w:after="0" w:line="360" w:lineRule="auto"/>
            <w:rPr>
              <w:rFonts w:ascii="Arial" w:eastAsia="Arial" w:hAnsi="Arial" w:cs="Arial"/>
              <w:sz w:val="20"/>
              <w:szCs w:val="20"/>
            </w:rPr>
          </w:pPr>
          <w:hyperlink w:anchor="_1f7o1he">
            <w:r w:rsidR="00916FD0">
              <w:rPr>
                <w:rFonts w:ascii="Arial" w:eastAsia="Arial" w:hAnsi="Arial" w:cs="Arial"/>
                <w:sz w:val="20"/>
                <w:szCs w:val="20"/>
              </w:rPr>
              <w:t>Table 10.. GDP growth</w:t>
            </w:r>
            <w:r w:rsidR="00916FD0">
              <w:rPr>
                <w:rFonts w:ascii="Arial" w:eastAsia="Arial" w:hAnsi="Arial" w:cs="Arial"/>
                <w:sz w:val="20"/>
                <w:szCs w:val="20"/>
              </w:rPr>
              <w:tab/>
              <w:t>56</w:t>
            </w:r>
          </w:hyperlink>
        </w:p>
        <w:p w14:paraId="2D456BEF" w14:textId="77777777" w:rsidR="00A031A6" w:rsidRDefault="00105476">
          <w:pPr>
            <w:tabs>
              <w:tab w:val="right" w:pos="9742"/>
            </w:tabs>
            <w:spacing w:after="0" w:line="360" w:lineRule="auto"/>
            <w:rPr>
              <w:rFonts w:ascii="Arial" w:eastAsia="Arial" w:hAnsi="Arial" w:cs="Arial"/>
              <w:sz w:val="20"/>
              <w:szCs w:val="20"/>
            </w:rPr>
          </w:pPr>
          <w:hyperlink w:anchor="_2eclud0">
            <w:r w:rsidR="00916FD0">
              <w:rPr>
                <w:rFonts w:ascii="Arial" w:eastAsia="Arial" w:hAnsi="Arial" w:cs="Arial"/>
                <w:sz w:val="20"/>
                <w:szCs w:val="20"/>
              </w:rPr>
              <w:t>Table 11. Indonesia population statistics</w:t>
            </w:r>
            <w:r w:rsidR="00916FD0">
              <w:rPr>
                <w:rFonts w:ascii="Arial" w:eastAsia="Arial" w:hAnsi="Arial" w:cs="Arial"/>
                <w:sz w:val="20"/>
                <w:szCs w:val="20"/>
              </w:rPr>
              <w:tab/>
              <w:t>57</w:t>
            </w:r>
          </w:hyperlink>
        </w:p>
        <w:p w14:paraId="5B4A6D30" w14:textId="77777777" w:rsidR="00A031A6" w:rsidRDefault="00105476">
          <w:pPr>
            <w:tabs>
              <w:tab w:val="right" w:pos="9742"/>
            </w:tabs>
            <w:spacing w:after="0" w:line="360" w:lineRule="auto"/>
            <w:rPr>
              <w:rFonts w:ascii="Arial" w:eastAsia="Arial" w:hAnsi="Arial" w:cs="Arial"/>
              <w:sz w:val="20"/>
              <w:szCs w:val="20"/>
            </w:rPr>
          </w:pPr>
          <w:hyperlink w:anchor="_1smtxgf">
            <w:r w:rsidR="00916FD0">
              <w:rPr>
                <w:rFonts w:ascii="Arial" w:eastAsia="Arial" w:hAnsi="Arial" w:cs="Arial"/>
                <w:sz w:val="20"/>
                <w:szCs w:val="20"/>
              </w:rPr>
              <w:t>Table 12. Household size</w:t>
            </w:r>
            <w:r w:rsidR="00916FD0">
              <w:rPr>
                <w:rFonts w:ascii="Arial" w:eastAsia="Arial" w:hAnsi="Arial" w:cs="Arial"/>
                <w:sz w:val="20"/>
                <w:szCs w:val="20"/>
              </w:rPr>
              <w:tab/>
              <w:t>57</w:t>
            </w:r>
          </w:hyperlink>
        </w:p>
        <w:p w14:paraId="514BC193" w14:textId="77777777" w:rsidR="00A031A6" w:rsidRDefault="00105476">
          <w:pPr>
            <w:tabs>
              <w:tab w:val="right" w:pos="9742"/>
            </w:tabs>
            <w:spacing w:after="0" w:line="360" w:lineRule="auto"/>
            <w:rPr>
              <w:rFonts w:ascii="Arial" w:eastAsia="Arial" w:hAnsi="Arial" w:cs="Arial"/>
              <w:sz w:val="20"/>
              <w:szCs w:val="20"/>
            </w:rPr>
          </w:pPr>
          <w:hyperlink w:anchor="_2rrrqc1">
            <w:r w:rsidR="00916FD0">
              <w:rPr>
                <w:rFonts w:ascii="Arial" w:eastAsia="Arial" w:hAnsi="Arial" w:cs="Arial"/>
                <w:sz w:val="20"/>
                <w:szCs w:val="20"/>
              </w:rPr>
              <w:t>Table 13. Commercial floor space</w:t>
            </w:r>
            <w:r w:rsidR="00916FD0">
              <w:rPr>
                <w:rFonts w:ascii="Arial" w:eastAsia="Arial" w:hAnsi="Arial" w:cs="Arial"/>
                <w:sz w:val="20"/>
                <w:szCs w:val="20"/>
              </w:rPr>
              <w:tab/>
              <w:t>57</w:t>
            </w:r>
          </w:hyperlink>
        </w:p>
        <w:p w14:paraId="624DF6E6" w14:textId="77777777" w:rsidR="00A031A6" w:rsidRDefault="00105476">
          <w:pPr>
            <w:tabs>
              <w:tab w:val="right" w:pos="9742"/>
            </w:tabs>
            <w:spacing w:after="0" w:line="360" w:lineRule="auto"/>
            <w:rPr>
              <w:rFonts w:ascii="Arial" w:eastAsia="Arial" w:hAnsi="Arial" w:cs="Arial"/>
              <w:sz w:val="20"/>
              <w:szCs w:val="20"/>
            </w:rPr>
          </w:pPr>
          <w:hyperlink w:anchor="_l7a3n9">
            <w:r w:rsidR="00916FD0">
              <w:rPr>
                <w:rFonts w:ascii="Arial" w:eastAsia="Arial" w:hAnsi="Arial" w:cs="Arial"/>
                <w:sz w:val="20"/>
                <w:szCs w:val="20"/>
              </w:rPr>
              <w:t>Table 14. Transport passenger-km</w:t>
            </w:r>
            <w:r w:rsidR="00916FD0">
              <w:rPr>
                <w:rFonts w:ascii="Arial" w:eastAsia="Arial" w:hAnsi="Arial" w:cs="Arial"/>
                <w:sz w:val="20"/>
                <w:szCs w:val="20"/>
              </w:rPr>
              <w:tab/>
              <w:t>58</w:t>
            </w:r>
          </w:hyperlink>
        </w:p>
        <w:p w14:paraId="6405AEDE" w14:textId="77777777" w:rsidR="00A031A6" w:rsidRDefault="00105476">
          <w:pPr>
            <w:tabs>
              <w:tab w:val="right" w:pos="9742"/>
            </w:tabs>
            <w:spacing w:after="0" w:line="360" w:lineRule="auto"/>
            <w:rPr>
              <w:rFonts w:ascii="Arial" w:eastAsia="Arial" w:hAnsi="Arial" w:cs="Arial"/>
              <w:sz w:val="20"/>
              <w:szCs w:val="20"/>
            </w:rPr>
          </w:pPr>
          <w:hyperlink w:anchor="_1kc7wiv">
            <w:r w:rsidR="00916FD0">
              <w:rPr>
                <w:rFonts w:ascii="Arial" w:eastAsia="Arial" w:hAnsi="Arial" w:cs="Arial"/>
                <w:sz w:val="20"/>
                <w:szCs w:val="20"/>
              </w:rPr>
              <w:t>Table 15. Residential urbanization</w:t>
            </w:r>
            <w:r w:rsidR="00916FD0">
              <w:rPr>
                <w:rFonts w:ascii="Arial" w:eastAsia="Arial" w:hAnsi="Arial" w:cs="Arial"/>
                <w:sz w:val="20"/>
                <w:szCs w:val="20"/>
              </w:rPr>
              <w:tab/>
              <w:t>58</w:t>
            </w:r>
          </w:hyperlink>
        </w:p>
        <w:p w14:paraId="49126845" w14:textId="77777777" w:rsidR="00A031A6" w:rsidRDefault="00105476">
          <w:pPr>
            <w:tabs>
              <w:tab w:val="right" w:pos="9742"/>
            </w:tabs>
            <w:spacing w:after="0" w:line="360" w:lineRule="auto"/>
            <w:rPr>
              <w:rFonts w:ascii="Arial" w:eastAsia="Arial" w:hAnsi="Arial" w:cs="Arial"/>
              <w:sz w:val="20"/>
              <w:szCs w:val="20"/>
            </w:rPr>
          </w:pPr>
          <w:hyperlink w:anchor="_3im3ia3">
            <w:r w:rsidR="00916FD0">
              <w:rPr>
                <w:rFonts w:ascii="Arial" w:eastAsia="Arial" w:hAnsi="Arial" w:cs="Arial"/>
                <w:sz w:val="20"/>
                <w:szCs w:val="20"/>
              </w:rPr>
              <w:t>Table 16. Indonesia steam power plants</w:t>
            </w:r>
            <w:r w:rsidR="00916FD0">
              <w:rPr>
                <w:rFonts w:ascii="Arial" w:eastAsia="Arial" w:hAnsi="Arial" w:cs="Arial"/>
                <w:sz w:val="20"/>
                <w:szCs w:val="20"/>
              </w:rPr>
              <w:tab/>
              <w:t>58</w:t>
            </w:r>
          </w:hyperlink>
        </w:p>
        <w:p w14:paraId="6236EEF0" w14:textId="77777777" w:rsidR="00A031A6" w:rsidRDefault="00105476">
          <w:pPr>
            <w:tabs>
              <w:tab w:val="right" w:pos="9742"/>
            </w:tabs>
            <w:spacing w:after="0" w:line="360" w:lineRule="auto"/>
            <w:rPr>
              <w:rFonts w:ascii="Arial" w:eastAsia="Arial" w:hAnsi="Arial" w:cs="Arial"/>
              <w:sz w:val="20"/>
              <w:szCs w:val="20"/>
            </w:rPr>
          </w:pPr>
          <w:hyperlink w:anchor="_4hr1b5p">
            <w:r w:rsidR="00916FD0">
              <w:rPr>
                <w:rFonts w:ascii="Arial" w:eastAsia="Arial" w:hAnsi="Arial" w:cs="Arial"/>
                <w:sz w:val="20"/>
                <w:szCs w:val="20"/>
              </w:rPr>
              <w:t>Table 17. Economic analysis parameters</w:t>
            </w:r>
            <w:r w:rsidR="00916FD0">
              <w:rPr>
                <w:rFonts w:ascii="Arial" w:eastAsia="Arial" w:hAnsi="Arial" w:cs="Arial"/>
                <w:sz w:val="20"/>
                <w:szCs w:val="20"/>
              </w:rPr>
              <w:tab/>
              <w:t>59</w:t>
            </w:r>
          </w:hyperlink>
        </w:p>
        <w:p w14:paraId="70795F27" w14:textId="77777777" w:rsidR="00A031A6" w:rsidRDefault="00105476">
          <w:pPr>
            <w:tabs>
              <w:tab w:val="right" w:pos="9742"/>
            </w:tabs>
            <w:spacing w:after="0" w:line="360" w:lineRule="auto"/>
            <w:rPr>
              <w:rFonts w:ascii="Arial" w:eastAsia="Arial" w:hAnsi="Arial" w:cs="Arial"/>
              <w:sz w:val="20"/>
              <w:szCs w:val="20"/>
            </w:rPr>
          </w:pPr>
          <w:hyperlink w:anchor="_2wwbldi">
            <w:r w:rsidR="00916FD0">
              <w:rPr>
                <w:rFonts w:ascii="Arial" w:eastAsia="Arial" w:hAnsi="Arial" w:cs="Arial"/>
                <w:sz w:val="20"/>
                <w:szCs w:val="20"/>
              </w:rPr>
              <w:t>Table 18. Fuel price for power plant technologies</w:t>
            </w:r>
            <w:r w:rsidR="00916FD0">
              <w:rPr>
                <w:rFonts w:ascii="Arial" w:eastAsia="Arial" w:hAnsi="Arial" w:cs="Arial"/>
                <w:sz w:val="20"/>
                <w:szCs w:val="20"/>
              </w:rPr>
              <w:tab/>
              <w:t>59</w:t>
            </w:r>
          </w:hyperlink>
        </w:p>
        <w:p w14:paraId="7B443F92" w14:textId="77777777" w:rsidR="00A031A6" w:rsidRDefault="00105476">
          <w:pPr>
            <w:tabs>
              <w:tab w:val="right" w:pos="9742"/>
            </w:tabs>
            <w:spacing w:after="0" w:line="360" w:lineRule="auto"/>
            <w:rPr>
              <w:rFonts w:ascii="Arial" w:eastAsia="Arial" w:hAnsi="Arial" w:cs="Arial"/>
              <w:sz w:val="20"/>
              <w:szCs w:val="20"/>
            </w:rPr>
          </w:pPr>
          <w:hyperlink w:anchor="_1c1lvlb">
            <w:r w:rsidR="00916FD0">
              <w:rPr>
                <w:rFonts w:ascii="Arial" w:eastAsia="Arial" w:hAnsi="Arial" w:cs="Arial"/>
                <w:sz w:val="20"/>
                <w:szCs w:val="20"/>
              </w:rPr>
              <w:t>Table 19. Capacity Factor for power plant technologies</w:t>
            </w:r>
            <w:r w:rsidR="00916FD0">
              <w:rPr>
                <w:rFonts w:ascii="Arial" w:eastAsia="Arial" w:hAnsi="Arial" w:cs="Arial"/>
                <w:sz w:val="20"/>
                <w:szCs w:val="20"/>
              </w:rPr>
              <w:tab/>
              <w:t>59</w:t>
            </w:r>
          </w:hyperlink>
        </w:p>
        <w:p w14:paraId="0447AD2B" w14:textId="77777777" w:rsidR="00A031A6" w:rsidRDefault="00105476">
          <w:pPr>
            <w:tabs>
              <w:tab w:val="right" w:pos="9742"/>
            </w:tabs>
            <w:spacing w:after="0" w:line="360" w:lineRule="auto"/>
            <w:rPr>
              <w:rFonts w:ascii="Arial" w:eastAsia="Arial" w:hAnsi="Arial" w:cs="Arial"/>
              <w:sz w:val="20"/>
              <w:szCs w:val="20"/>
            </w:rPr>
          </w:pPr>
          <w:hyperlink w:anchor="_3w19e94">
            <w:r w:rsidR="00916FD0">
              <w:rPr>
                <w:rFonts w:ascii="Arial" w:eastAsia="Arial" w:hAnsi="Arial" w:cs="Arial"/>
                <w:sz w:val="20"/>
                <w:szCs w:val="20"/>
              </w:rPr>
              <w:t>Table 20. Indonesia Technology Cost Data</w:t>
            </w:r>
            <w:r w:rsidR="00916FD0">
              <w:rPr>
                <w:rFonts w:ascii="Arial" w:eastAsia="Arial" w:hAnsi="Arial" w:cs="Arial"/>
                <w:sz w:val="20"/>
                <w:szCs w:val="20"/>
              </w:rPr>
              <w:tab/>
              <w:t>60</w:t>
            </w:r>
          </w:hyperlink>
        </w:p>
        <w:p w14:paraId="4CCAF81A" w14:textId="77777777" w:rsidR="00A031A6" w:rsidRDefault="00916FD0">
          <w:pPr>
            <w:tabs>
              <w:tab w:val="right" w:pos="9742"/>
            </w:tabs>
            <w:spacing w:after="0" w:line="360" w:lineRule="auto"/>
            <w:rPr>
              <w:rFonts w:ascii="Arial" w:eastAsia="Arial" w:hAnsi="Arial" w:cs="Arial"/>
              <w:sz w:val="20"/>
              <w:szCs w:val="20"/>
            </w:rPr>
          </w:pPr>
          <w:r>
            <w:rPr>
              <w:rFonts w:ascii="Arial" w:eastAsia="Arial" w:hAnsi="Arial" w:cs="Arial"/>
              <w:sz w:val="20"/>
              <w:szCs w:val="20"/>
            </w:rPr>
            <w:t>Table 21. Power generation technology mix for different scenarios……………………………………………….</w:t>
          </w:r>
        </w:p>
        <w:p w14:paraId="219CE11A" w14:textId="77777777" w:rsidR="00A031A6" w:rsidRDefault="00105476">
          <w:pPr>
            <w:tabs>
              <w:tab w:val="right" w:pos="9742"/>
            </w:tabs>
            <w:spacing w:after="0" w:line="360" w:lineRule="auto"/>
            <w:rPr>
              <w:rFonts w:ascii="Arial" w:eastAsia="Arial" w:hAnsi="Arial" w:cs="Arial"/>
              <w:sz w:val="20"/>
              <w:szCs w:val="20"/>
            </w:rPr>
          </w:pPr>
          <w:hyperlink w:anchor="_1h65qms">
            <w:r w:rsidR="00916FD0">
              <w:rPr>
                <w:rFonts w:ascii="Arial" w:eastAsia="Arial" w:hAnsi="Arial" w:cs="Arial"/>
                <w:sz w:val="20"/>
                <w:szCs w:val="20"/>
              </w:rPr>
              <w:t>Table 22. Sustainable Development Goal scenario matrix</w:t>
            </w:r>
            <w:r w:rsidR="00916FD0">
              <w:rPr>
                <w:rFonts w:ascii="Arial" w:eastAsia="Arial" w:hAnsi="Arial" w:cs="Arial"/>
                <w:sz w:val="20"/>
                <w:szCs w:val="20"/>
              </w:rPr>
              <w:tab/>
              <w:t>64</w:t>
            </w:r>
          </w:hyperlink>
        </w:p>
        <w:p w14:paraId="1A746C41" w14:textId="77777777" w:rsidR="00A031A6" w:rsidRDefault="00105476">
          <w:pPr>
            <w:tabs>
              <w:tab w:val="right" w:pos="9742"/>
            </w:tabs>
            <w:spacing w:after="0" w:line="360" w:lineRule="auto"/>
            <w:rPr>
              <w:rFonts w:ascii="Arial" w:eastAsia="Arial" w:hAnsi="Arial" w:cs="Arial"/>
              <w:sz w:val="20"/>
              <w:szCs w:val="20"/>
            </w:rPr>
          </w:pPr>
          <w:hyperlink w:anchor="_1l354xk">
            <w:r w:rsidR="00916FD0">
              <w:rPr>
                <w:rFonts w:ascii="Arial" w:eastAsia="Arial" w:hAnsi="Arial" w:cs="Arial"/>
                <w:sz w:val="20"/>
                <w:szCs w:val="20"/>
              </w:rPr>
              <w:t>Table 23. Estimate of stock count in Indonesia</w:t>
            </w:r>
            <w:r w:rsidR="00916FD0">
              <w:rPr>
                <w:rFonts w:ascii="Arial" w:eastAsia="Arial" w:hAnsi="Arial" w:cs="Arial"/>
                <w:sz w:val="20"/>
                <w:szCs w:val="20"/>
              </w:rPr>
              <w:tab/>
              <w:t>79</w:t>
            </w:r>
          </w:hyperlink>
        </w:p>
        <w:p w14:paraId="7F69A9DD" w14:textId="77777777" w:rsidR="00A031A6" w:rsidRDefault="00916FD0">
          <w:pPr>
            <w:tabs>
              <w:tab w:val="right" w:pos="9742"/>
            </w:tabs>
            <w:spacing w:after="0" w:line="360" w:lineRule="auto"/>
            <w:rPr>
              <w:rFonts w:ascii="Arial" w:eastAsia="Arial" w:hAnsi="Arial" w:cs="Arial"/>
              <w:sz w:val="20"/>
              <w:szCs w:val="20"/>
            </w:rPr>
          </w:pPr>
          <w:r>
            <w:rPr>
              <w:rFonts w:ascii="Arial" w:eastAsia="Arial" w:hAnsi="Arial" w:cs="Arial"/>
              <w:sz w:val="20"/>
              <w:szCs w:val="20"/>
            </w:rPr>
            <w:t>Table 24. Stock-turnover analysis results…………………………………………………………………………….</w:t>
          </w:r>
        </w:p>
        <w:p w14:paraId="13A68297" w14:textId="77777777" w:rsidR="00A031A6" w:rsidRDefault="00916FD0">
          <w:pPr>
            <w:spacing w:before="120" w:after="60" w:line="360" w:lineRule="auto"/>
            <w:jc w:val="center"/>
          </w:pPr>
          <w:r>
            <w:fldChar w:fldCharType="end"/>
          </w:r>
        </w:p>
      </w:sdtContent>
    </w:sdt>
    <w:p w14:paraId="75ECA5B5" w14:textId="77777777" w:rsidR="00A031A6" w:rsidRDefault="00916FD0">
      <w:r>
        <w:br w:type="page"/>
      </w:r>
    </w:p>
    <w:p w14:paraId="129DFC34" w14:textId="77777777" w:rsidR="00A031A6" w:rsidRDefault="00916FD0">
      <w:pPr>
        <w:spacing w:before="120" w:after="60" w:line="360" w:lineRule="auto"/>
        <w:jc w:val="center"/>
        <w:rPr>
          <w:rFonts w:ascii="Arial" w:eastAsia="Arial" w:hAnsi="Arial" w:cs="Arial"/>
          <w:b/>
          <w:sz w:val="20"/>
          <w:szCs w:val="20"/>
        </w:rPr>
        <w:sectPr w:rsidR="00A031A6">
          <w:pgSz w:w="11906" w:h="16838"/>
          <w:pgMar w:top="1440" w:right="1077" w:bottom="454" w:left="1077" w:header="709" w:footer="709" w:gutter="0"/>
          <w:pgNumType w:start="1"/>
          <w:cols w:space="720"/>
        </w:sectPr>
      </w:pPr>
      <w:r>
        <w:rPr>
          <w:rFonts w:ascii="Arial" w:eastAsia="Arial" w:hAnsi="Arial" w:cs="Arial"/>
          <w:b/>
          <w:sz w:val="28"/>
          <w:szCs w:val="28"/>
        </w:rPr>
        <w:lastRenderedPageBreak/>
        <w:t>Abbreviations and acronyms</w:t>
      </w:r>
    </w:p>
    <w:p w14:paraId="51E11CA6"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ADB     </w:t>
      </w:r>
      <w:r>
        <w:rPr>
          <w:rFonts w:ascii="Arial" w:eastAsia="Arial" w:hAnsi="Arial" w:cs="Arial"/>
          <w:sz w:val="20"/>
          <w:szCs w:val="20"/>
        </w:rPr>
        <w:tab/>
        <w:t>Asian Development Bank</w:t>
      </w:r>
    </w:p>
    <w:p w14:paraId="4414EA44"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BAU     </w:t>
      </w:r>
      <w:r>
        <w:rPr>
          <w:rFonts w:ascii="Arial" w:eastAsia="Arial" w:hAnsi="Arial" w:cs="Arial"/>
          <w:sz w:val="20"/>
          <w:szCs w:val="20"/>
        </w:rPr>
        <w:tab/>
        <w:t>business-as-usual</w:t>
      </w:r>
    </w:p>
    <w:p w14:paraId="716C03FF"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BUR      </w:t>
      </w:r>
      <w:r>
        <w:rPr>
          <w:rFonts w:ascii="Arial" w:eastAsia="Arial" w:hAnsi="Arial" w:cs="Arial"/>
          <w:sz w:val="20"/>
          <w:szCs w:val="20"/>
        </w:rPr>
        <w:tab/>
        <w:t>Biennial Update Report</w:t>
      </w:r>
    </w:p>
    <w:p w14:paraId="57E250E9"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BOE </w:t>
      </w:r>
      <w:r>
        <w:rPr>
          <w:rFonts w:ascii="Arial" w:eastAsia="Arial" w:hAnsi="Arial" w:cs="Arial"/>
          <w:sz w:val="20"/>
          <w:szCs w:val="20"/>
        </w:rPr>
        <w:tab/>
        <w:t>barrels of oil equivalent</w:t>
      </w:r>
    </w:p>
    <w:p w14:paraId="2046DD7A"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CBA     </w:t>
      </w:r>
      <w:r>
        <w:rPr>
          <w:rFonts w:ascii="Arial" w:eastAsia="Arial" w:hAnsi="Arial" w:cs="Arial"/>
          <w:sz w:val="20"/>
          <w:szCs w:val="20"/>
        </w:rPr>
        <w:tab/>
        <w:t>cost benefit analysis</w:t>
      </w:r>
    </w:p>
    <w:p w14:paraId="59AB5B33"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CCGT     </w:t>
      </w:r>
      <w:r>
        <w:rPr>
          <w:rFonts w:ascii="Arial" w:eastAsia="Arial" w:hAnsi="Arial" w:cs="Arial"/>
          <w:sz w:val="20"/>
          <w:szCs w:val="20"/>
        </w:rPr>
        <w:tab/>
        <w:t>combined cycle gas turbine</w:t>
      </w:r>
    </w:p>
    <w:p w14:paraId="1DD6911D"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CCS     </w:t>
      </w:r>
      <w:r>
        <w:rPr>
          <w:rFonts w:ascii="Arial" w:eastAsia="Arial" w:hAnsi="Arial" w:cs="Arial"/>
          <w:sz w:val="20"/>
          <w:szCs w:val="20"/>
        </w:rPr>
        <w:tab/>
        <w:t>carbon capture and storage</w:t>
      </w:r>
    </w:p>
    <w:p w14:paraId="4B89DA5B"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CFBC     </w:t>
      </w:r>
      <w:r>
        <w:rPr>
          <w:rFonts w:ascii="Arial" w:eastAsia="Arial" w:hAnsi="Arial" w:cs="Arial"/>
          <w:sz w:val="20"/>
          <w:szCs w:val="20"/>
        </w:rPr>
        <w:tab/>
        <w:t>circulating fluidized bed combustion</w:t>
      </w:r>
    </w:p>
    <w:p w14:paraId="028AA037"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CPS     </w:t>
      </w:r>
      <w:r>
        <w:rPr>
          <w:rFonts w:ascii="Arial" w:eastAsia="Arial" w:hAnsi="Arial" w:cs="Arial"/>
          <w:sz w:val="20"/>
          <w:szCs w:val="20"/>
        </w:rPr>
        <w:tab/>
        <w:t>current policy scenario</w:t>
      </w:r>
    </w:p>
    <w:p w14:paraId="1B311894"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CSP     </w:t>
      </w:r>
      <w:r>
        <w:rPr>
          <w:rFonts w:ascii="Arial" w:eastAsia="Arial" w:hAnsi="Arial" w:cs="Arial"/>
          <w:sz w:val="20"/>
          <w:szCs w:val="20"/>
        </w:rPr>
        <w:tab/>
        <w:t>concentrated solar power</w:t>
      </w:r>
    </w:p>
    <w:p w14:paraId="45889AE4"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CTF     </w:t>
      </w:r>
      <w:r>
        <w:rPr>
          <w:rFonts w:ascii="Arial" w:eastAsia="Arial" w:hAnsi="Arial" w:cs="Arial"/>
          <w:sz w:val="20"/>
          <w:szCs w:val="20"/>
        </w:rPr>
        <w:tab/>
        <w:t>clean technology fund</w:t>
      </w:r>
    </w:p>
    <w:p w14:paraId="24AB055B"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EE S&amp;L     </w:t>
      </w:r>
      <w:r>
        <w:rPr>
          <w:rFonts w:ascii="Arial" w:eastAsia="Arial" w:hAnsi="Arial" w:cs="Arial"/>
          <w:sz w:val="20"/>
          <w:szCs w:val="20"/>
        </w:rPr>
        <w:tab/>
        <w:t>Energy Efficiency Labelling Program</w:t>
      </w:r>
    </w:p>
    <w:p w14:paraId="4FF93672"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EL7     </w:t>
      </w:r>
      <w:r>
        <w:rPr>
          <w:rFonts w:ascii="Arial" w:eastAsia="Arial" w:hAnsi="Arial" w:cs="Arial"/>
          <w:sz w:val="20"/>
          <w:szCs w:val="20"/>
        </w:rPr>
        <w:tab/>
        <w:t>Energy Law No. 30/2007</w:t>
      </w:r>
    </w:p>
    <w:p w14:paraId="26AA8AB5" w14:textId="77777777" w:rsidR="00A031A6" w:rsidRDefault="00916FD0">
      <w:pPr>
        <w:tabs>
          <w:tab w:val="left" w:pos="1064"/>
        </w:tabs>
        <w:spacing w:after="0" w:line="276" w:lineRule="auto"/>
        <w:ind w:left="1092" w:hanging="1092"/>
        <w:rPr>
          <w:rFonts w:ascii="Arial" w:eastAsia="Arial" w:hAnsi="Arial" w:cs="Arial"/>
          <w:sz w:val="20"/>
          <w:szCs w:val="20"/>
        </w:rPr>
      </w:pPr>
      <w:r>
        <w:rPr>
          <w:rFonts w:ascii="Arial" w:eastAsia="Arial" w:hAnsi="Arial" w:cs="Arial"/>
          <w:sz w:val="20"/>
          <w:szCs w:val="20"/>
        </w:rPr>
        <w:t xml:space="preserve">ESCAP    </w:t>
      </w:r>
      <w:r>
        <w:rPr>
          <w:rFonts w:ascii="Arial" w:eastAsia="Arial" w:hAnsi="Arial" w:cs="Arial"/>
          <w:sz w:val="20"/>
          <w:szCs w:val="20"/>
        </w:rPr>
        <w:tab/>
        <w:t xml:space="preserve"> Economic and Social Commission for Asia and the Pacific</w:t>
      </w:r>
    </w:p>
    <w:p w14:paraId="77980CAE" w14:textId="77777777" w:rsidR="00A031A6" w:rsidRDefault="00916FD0">
      <w:pPr>
        <w:tabs>
          <w:tab w:val="left" w:pos="1120"/>
        </w:tabs>
        <w:spacing w:after="0" w:line="276" w:lineRule="auto"/>
        <w:rPr>
          <w:rFonts w:ascii="Arial" w:eastAsia="Arial" w:hAnsi="Arial" w:cs="Arial"/>
          <w:sz w:val="20"/>
          <w:szCs w:val="20"/>
        </w:rPr>
      </w:pPr>
      <w:r>
        <w:rPr>
          <w:rFonts w:ascii="Arial" w:eastAsia="Arial" w:hAnsi="Arial" w:cs="Arial"/>
          <w:sz w:val="20"/>
          <w:szCs w:val="20"/>
        </w:rPr>
        <w:t xml:space="preserve">ETS     </w:t>
      </w:r>
      <w:r>
        <w:rPr>
          <w:rFonts w:ascii="Arial" w:eastAsia="Arial" w:hAnsi="Arial" w:cs="Arial"/>
          <w:sz w:val="20"/>
          <w:szCs w:val="20"/>
        </w:rPr>
        <w:tab/>
        <w:t>Emission Trading System</w:t>
      </w:r>
    </w:p>
    <w:p w14:paraId="1F2B61A1"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EV     </w:t>
      </w:r>
      <w:r>
        <w:rPr>
          <w:rFonts w:ascii="Arial" w:eastAsia="Arial" w:hAnsi="Arial" w:cs="Arial"/>
          <w:sz w:val="20"/>
          <w:szCs w:val="20"/>
        </w:rPr>
        <w:tab/>
        <w:t>electric vehicle</w:t>
      </w:r>
    </w:p>
    <w:p w14:paraId="5E4D1F0D"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GHG     </w:t>
      </w:r>
      <w:r>
        <w:rPr>
          <w:rFonts w:ascii="Arial" w:eastAsia="Arial" w:hAnsi="Arial" w:cs="Arial"/>
          <w:sz w:val="20"/>
          <w:szCs w:val="20"/>
        </w:rPr>
        <w:tab/>
        <w:t xml:space="preserve">greenhouse gas </w:t>
      </w:r>
    </w:p>
    <w:p w14:paraId="4FAD0D17"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GOI     </w:t>
      </w:r>
      <w:r>
        <w:rPr>
          <w:rFonts w:ascii="Arial" w:eastAsia="Arial" w:hAnsi="Arial" w:cs="Arial"/>
          <w:sz w:val="20"/>
          <w:szCs w:val="20"/>
        </w:rPr>
        <w:tab/>
        <w:t>Government of Indonesia</w:t>
      </w:r>
    </w:p>
    <w:p w14:paraId="3CDBFD41"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ICS    </w:t>
      </w:r>
      <w:r>
        <w:rPr>
          <w:rFonts w:ascii="Arial" w:eastAsia="Arial" w:hAnsi="Arial" w:cs="Arial"/>
          <w:sz w:val="20"/>
          <w:szCs w:val="20"/>
        </w:rPr>
        <w:tab/>
        <w:t>improved cooking stove</w:t>
      </w:r>
    </w:p>
    <w:p w14:paraId="5E8F6E8B"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IGCC   </w:t>
      </w:r>
      <w:r>
        <w:rPr>
          <w:rFonts w:ascii="Arial" w:eastAsia="Arial" w:hAnsi="Arial" w:cs="Arial"/>
          <w:sz w:val="20"/>
          <w:szCs w:val="20"/>
        </w:rPr>
        <w:tab/>
        <w:t>Integrated Gasification Combined Cycle</w:t>
      </w:r>
    </w:p>
    <w:p w14:paraId="3F90B2B9" w14:textId="77777777" w:rsidR="00A031A6" w:rsidRDefault="00916FD0">
      <w:pPr>
        <w:tabs>
          <w:tab w:val="left" w:pos="1134"/>
        </w:tabs>
        <w:spacing w:after="0" w:line="276" w:lineRule="auto"/>
        <w:rPr>
          <w:rFonts w:ascii="Arial" w:eastAsia="Arial" w:hAnsi="Arial" w:cs="Arial"/>
          <w:sz w:val="20"/>
          <w:szCs w:val="20"/>
        </w:rPr>
      </w:pPr>
      <w:bookmarkStart w:id="0" w:name="_gjdgxs" w:colFirst="0" w:colLast="0"/>
      <w:bookmarkEnd w:id="0"/>
      <w:r>
        <w:rPr>
          <w:rFonts w:ascii="Arial" w:eastAsia="Arial" w:hAnsi="Arial" w:cs="Arial"/>
          <w:sz w:val="20"/>
          <w:szCs w:val="20"/>
        </w:rPr>
        <w:t xml:space="preserve">IDR     </w:t>
      </w:r>
      <w:r>
        <w:rPr>
          <w:rFonts w:ascii="Arial" w:eastAsia="Arial" w:hAnsi="Arial" w:cs="Arial"/>
          <w:sz w:val="20"/>
          <w:szCs w:val="20"/>
        </w:rPr>
        <w:tab/>
        <w:t>Indonesian rupiah</w:t>
      </w:r>
    </w:p>
    <w:p w14:paraId="2D253016"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IRENA     </w:t>
      </w:r>
      <w:r>
        <w:rPr>
          <w:rFonts w:ascii="Arial" w:eastAsia="Arial" w:hAnsi="Arial" w:cs="Arial"/>
          <w:sz w:val="20"/>
          <w:szCs w:val="20"/>
        </w:rPr>
        <w:tab/>
        <w:t>International Renewable Energy Agency</w:t>
      </w:r>
    </w:p>
    <w:p w14:paraId="06B27D69"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ILUC     </w:t>
      </w:r>
      <w:r>
        <w:rPr>
          <w:rFonts w:ascii="Arial" w:eastAsia="Arial" w:hAnsi="Arial" w:cs="Arial"/>
          <w:sz w:val="20"/>
          <w:szCs w:val="20"/>
        </w:rPr>
        <w:tab/>
        <w:t>indirect land-use change</w:t>
      </w:r>
    </w:p>
    <w:p w14:paraId="0881C837"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IPCC    </w:t>
      </w:r>
      <w:r>
        <w:rPr>
          <w:rFonts w:ascii="Arial" w:eastAsia="Arial" w:hAnsi="Arial" w:cs="Arial"/>
          <w:sz w:val="20"/>
          <w:szCs w:val="20"/>
        </w:rPr>
        <w:tab/>
        <w:t>Intergovernmental Panel on Climate Change</w:t>
      </w:r>
    </w:p>
    <w:p w14:paraId="75EA99C1"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IRR     </w:t>
      </w:r>
      <w:r>
        <w:rPr>
          <w:rFonts w:ascii="Arial" w:eastAsia="Arial" w:hAnsi="Arial" w:cs="Arial"/>
          <w:sz w:val="20"/>
          <w:szCs w:val="20"/>
        </w:rPr>
        <w:tab/>
        <w:t>Internal Rate of Return</w:t>
      </w:r>
    </w:p>
    <w:p w14:paraId="44196EA9"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KEN     </w:t>
      </w:r>
      <w:r>
        <w:rPr>
          <w:rFonts w:ascii="Arial" w:eastAsia="Arial" w:hAnsi="Arial" w:cs="Arial"/>
          <w:sz w:val="20"/>
          <w:szCs w:val="20"/>
        </w:rPr>
        <w:tab/>
        <w:t>National Energy Policy</w:t>
      </w:r>
    </w:p>
    <w:p w14:paraId="1EB71274"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LCOE     </w:t>
      </w:r>
      <w:r>
        <w:rPr>
          <w:rFonts w:ascii="Arial" w:eastAsia="Arial" w:hAnsi="Arial" w:cs="Arial"/>
          <w:sz w:val="20"/>
          <w:szCs w:val="20"/>
        </w:rPr>
        <w:tab/>
        <w:t>Levelized Cost of Electricity</w:t>
      </w:r>
    </w:p>
    <w:p w14:paraId="704BA36F"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LEAP     </w:t>
      </w:r>
      <w:r>
        <w:rPr>
          <w:rFonts w:ascii="Arial" w:eastAsia="Arial" w:hAnsi="Arial" w:cs="Arial"/>
          <w:sz w:val="20"/>
          <w:szCs w:val="20"/>
        </w:rPr>
        <w:tab/>
        <w:t>Long-range Energy Alternatives Planning</w:t>
      </w:r>
    </w:p>
    <w:p w14:paraId="20C9DB7A"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MBOE</w:t>
      </w:r>
      <w:r>
        <w:rPr>
          <w:rFonts w:ascii="Arial" w:eastAsia="Arial" w:hAnsi="Arial" w:cs="Arial"/>
          <w:sz w:val="20"/>
          <w:szCs w:val="20"/>
        </w:rPr>
        <w:tab/>
        <w:t>million barrels of oil equivalent</w:t>
      </w:r>
    </w:p>
    <w:p w14:paraId="7AF59E6D"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MCDA     </w:t>
      </w:r>
      <w:r>
        <w:rPr>
          <w:rFonts w:ascii="Arial" w:eastAsia="Arial" w:hAnsi="Arial" w:cs="Arial"/>
          <w:sz w:val="20"/>
          <w:szCs w:val="20"/>
        </w:rPr>
        <w:tab/>
        <w:t>Multi-Criteria Decision Analysis</w:t>
      </w:r>
    </w:p>
    <w:p w14:paraId="3BCBA3E6"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MEPS     </w:t>
      </w:r>
      <w:r>
        <w:rPr>
          <w:rFonts w:ascii="Arial" w:eastAsia="Arial" w:hAnsi="Arial" w:cs="Arial"/>
          <w:sz w:val="20"/>
          <w:szCs w:val="20"/>
        </w:rPr>
        <w:tab/>
        <w:t>Minimum Energy Performance Standards</w:t>
      </w:r>
    </w:p>
    <w:p w14:paraId="0E5B8267"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MJ</w:t>
      </w:r>
      <w:r>
        <w:rPr>
          <w:rFonts w:ascii="Arial" w:eastAsia="Arial" w:hAnsi="Arial" w:cs="Arial"/>
          <w:sz w:val="20"/>
          <w:szCs w:val="20"/>
        </w:rPr>
        <w:tab/>
        <w:t>megajoule</w:t>
      </w:r>
    </w:p>
    <w:p w14:paraId="67A666B5"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MT     </w:t>
      </w:r>
      <w:r>
        <w:rPr>
          <w:rFonts w:ascii="Arial" w:eastAsia="Arial" w:hAnsi="Arial" w:cs="Arial"/>
          <w:sz w:val="20"/>
          <w:szCs w:val="20"/>
        </w:rPr>
        <w:tab/>
        <w:t>million tons</w:t>
      </w:r>
    </w:p>
    <w:p w14:paraId="75BF1DEB"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MTF     </w:t>
      </w:r>
      <w:r>
        <w:rPr>
          <w:rFonts w:ascii="Arial" w:eastAsia="Arial" w:hAnsi="Arial" w:cs="Arial"/>
          <w:sz w:val="20"/>
          <w:szCs w:val="20"/>
        </w:rPr>
        <w:tab/>
        <w:t>Multi-Tier Framework</w:t>
      </w:r>
    </w:p>
    <w:p w14:paraId="3FEBBD5A"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NDC     </w:t>
      </w:r>
      <w:r>
        <w:rPr>
          <w:rFonts w:ascii="Arial" w:eastAsia="Arial" w:hAnsi="Arial" w:cs="Arial"/>
          <w:sz w:val="20"/>
          <w:szCs w:val="20"/>
        </w:rPr>
        <w:tab/>
        <w:t>nationally determined contributions</w:t>
      </w:r>
    </w:p>
    <w:p w14:paraId="51CBFEA2"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NEXSTEP </w:t>
      </w:r>
      <w:r>
        <w:rPr>
          <w:rFonts w:ascii="Arial" w:eastAsia="Arial" w:hAnsi="Arial" w:cs="Arial"/>
          <w:sz w:val="20"/>
          <w:szCs w:val="20"/>
        </w:rPr>
        <w:tab/>
        <w:t>National Expert SDG Tool for Energy Planning</w:t>
      </w:r>
    </w:p>
    <w:p w14:paraId="19F47DFF"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PA     </w:t>
      </w:r>
      <w:r>
        <w:rPr>
          <w:rFonts w:ascii="Arial" w:eastAsia="Arial" w:hAnsi="Arial" w:cs="Arial"/>
          <w:sz w:val="20"/>
          <w:szCs w:val="20"/>
        </w:rPr>
        <w:tab/>
        <w:t>Paris Agreement</w:t>
      </w:r>
    </w:p>
    <w:p w14:paraId="53925DC0"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PLN </w:t>
      </w:r>
      <w:r>
        <w:rPr>
          <w:rFonts w:ascii="Arial" w:eastAsia="Arial" w:hAnsi="Arial" w:cs="Arial"/>
          <w:sz w:val="20"/>
          <w:szCs w:val="20"/>
        </w:rPr>
        <w:tab/>
        <w:t>Perusahaan Listrik Negara</w:t>
      </w:r>
    </w:p>
    <w:p w14:paraId="31237ED8"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PP     </w:t>
      </w:r>
      <w:r>
        <w:rPr>
          <w:rFonts w:ascii="Arial" w:eastAsia="Arial" w:hAnsi="Arial" w:cs="Arial"/>
          <w:sz w:val="20"/>
          <w:szCs w:val="20"/>
        </w:rPr>
        <w:tab/>
        <w:t>power plant</w:t>
      </w:r>
    </w:p>
    <w:p w14:paraId="39C5F41E"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RAN-GRK  </w:t>
      </w:r>
      <w:r>
        <w:rPr>
          <w:rFonts w:ascii="Arial" w:eastAsia="Arial" w:hAnsi="Arial" w:cs="Arial"/>
          <w:sz w:val="20"/>
          <w:szCs w:val="20"/>
        </w:rPr>
        <w:tab/>
        <w:t>National Action Plan for Reducing Greenhouse Gas Emissions</w:t>
      </w:r>
    </w:p>
    <w:p w14:paraId="7A32FFF5"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RIKEN     </w:t>
      </w:r>
      <w:r>
        <w:rPr>
          <w:rFonts w:ascii="Arial" w:eastAsia="Arial" w:hAnsi="Arial" w:cs="Arial"/>
          <w:sz w:val="20"/>
          <w:szCs w:val="20"/>
        </w:rPr>
        <w:tab/>
        <w:t>National Master Plan for Energy Conservation</w:t>
      </w:r>
    </w:p>
    <w:p w14:paraId="11924AC6"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RPJMN    </w:t>
      </w:r>
      <w:r>
        <w:rPr>
          <w:rFonts w:ascii="Arial" w:eastAsia="Arial" w:hAnsi="Arial" w:cs="Arial"/>
          <w:sz w:val="20"/>
          <w:szCs w:val="20"/>
        </w:rPr>
        <w:tab/>
        <w:t>Medium-Term Development Plan</w:t>
      </w:r>
    </w:p>
    <w:p w14:paraId="344B4FA5"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RPJPN     </w:t>
      </w:r>
      <w:r>
        <w:rPr>
          <w:rFonts w:ascii="Arial" w:eastAsia="Arial" w:hAnsi="Arial" w:cs="Arial"/>
          <w:sz w:val="20"/>
          <w:szCs w:val="20"/>
        </w:rPr>
        <w:tab/>
        <w:t xml:space="preserve">Long-Term Development Plan </w:t>
      </w:r>
    </w:p>
    <w:p w14:paraId="483B2BE2"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RUEN     </w:t>
      </w:r>
      <w:r>
        <w:rPr>
          <w:rFonts w:ascii="Arial" w:eastAsia="Arial" w:hAnsi="Arial" w:cs="Arial"/>
          <w:sz w:val="20"/>
          <w:szCs w:val="20"/>
        </w:rPr>
        <w:tab/>
        <w:t>National Energy General Plan</w:t>
      </w:r>
    </w:p>
    <w:p w14:paraId="210F46C2" w14:textId="77777777" w:rsidR="00A031A6" w:rsidRDefault="00916FD0">
      <w:pPr>
        <w:tabs>
          <w:tab w:val="left" w:pos="1134"/>
        </w:tabs>
        <w:spacing w:after="0" w:line="276" w:lineRule="auto"/>
        <w:ind w:left="1134" w:hanging="1134"/>
        <w:rPr>
          <w:rFonts w:ascii="Arial" w:eastAsia="Arial" w:hAnsi="Arial" w:cs="Arial"/>
          <w:sz w:val="20"/>
          <w:szCs w:val="20"/>
        </w:rPr>
      </w:pPr>
      <w:r>
        <w:rPr>
          <w:rFonts w:ascii="Arial" w:eastAsia="Arial" w:hAnsi="Arial" w:cs="Arial"/>
          <w:sz w:val="20"/>
          <w:szCs w:val="20"/>
        </w:rPr>
        <w:t xml:space="preserve">RUPTL     </w:t>
      </w:r>
      <w:r>
        <w:rPr>
          <w:rFonts w:ascii="Arial" w:eastAsia="Arial" w:hAnsi="Arial" w:cs="Arial"/>
          <w:sz w:val="20"/>
          <w:szCs w:val="20"/>
        </w:rPr>
        <w:tab/>
        <w:t>PLN’s Electricity Supply Business Plan</w:t>
      </w:r>
    </w:p>
    <w:p w14:paraId="621A4928"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SDG     </w:t>
      </w:r>
      <w:r>
        <w:rPr>
          <w:rFonts w:ascii="Arial" w:eastAsia="Arial" w:hAnsi="Arial" w:cs="Arial"/>
          <w:sz w:val="20"/>
          <w:szCs w:val="20"/>
        </w:rPr>
        <w:tab/>
        <w:t>Sustainable Development Goal</w:t>
      </w:r>
    </w:p>
    <w:p w14:paraId="257564B7"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TES     </w:t>
      </w:r>
      <w:r>
        <w:rPr>
          <w:rFonts w:ascii="Arial" w:eastAsia="Arial" w:hAnsi="Arial" w:cs="Arial"/>
          <w:sz w:val="20"/>
          <w:szCs w:val="20"/>
        </w:rPr>
        <w:tab/>
        <w:t>thermal energy storage</w:t>
      </w:r>
    </w:p>
    <w:p w14:paraId="23A58A83"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TFEC     </w:t>
      </w:r>
      <w:r>
        <w:rPr>
          <w:rFonts w:ascii="Arial" w:eastAsia="Arial" w:hAnsi="Arial" w:cs="Arial"/>
          <w:sz w:val="20"/>
          <w:szCs w:val="20"/>
        </w:rPr>
        <w:tab/>
        <w:t>total final energy consumption</w:t>
      </w:r>
    </w:p>
    <w:p w14:paraId="20BF88C0"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TSCF</w:t>
      </w:r>
      <w:r>
        <w:rPr>
          <w:rFonts w:ascii="Arial" w:eastAsia="Arial" w:hAnsi="Arial" w:cs="Arial"/>
          <w:sz w:val="20"/>
          <w:szCs w:val="20"/>
        </w:rPr>
        <w:tab/>
        <w:t>trillion standard cubic feet</w:t>
      </w:r>
    </w:p>
    <w:p w14:paraId="6EEDFA53" w14:textId="77777777" w:rsidR="00A031A6" w:rsidRDefault="00916FD0">
      <w:pPr>
        <w:tabs>
          <w:tab w:val="left" w:pos="1134"/>
        </w:tabs>
        <w:spacing w:after="0" w:line="276" w:lineRule="auto"/>
        <w:rPr>
          <w:rFonts w:ascii="Arial" w:eastAsia="Arial" w:hAnsi="Arial" w:cs="Arial"/>
          <w:sz w:val="20"/>
          <w:szCs w:val="20"/>
        </w:rPr>
      </w:pPr>
      <w:r>
        <w:rPr>
          <w:rFonts w:ascii="Arial" w:eastAsia="Arial" w:hAnsi="Arial" w:cs="Arial"/>
          <w:sz w:val="20"/>
          <w:szCs w:val="20"/>
        </w:rPr>
        <w:t xml:space="preserve">TPES     </w:t>
      </w:r>
      <w:r>
        <w:rPr>
          <w:rFonts w:ascii="Arial" w:eastAsia="Arial" w:hAnsi="Arial" w:cs="Arial"/>
          <w:sz w:val="20"/>
          <w:szCs w:val="20"/>
        </w:rPr>
        <w:tab/>
        <w:t>total primary energy supply</w:t>
      </w:r>
    </w:p>
    <w:p w14:paraId="3AA9346B" w14:textId="77777777" w:rsidR="00A031A6" w:rsidRDefault="00916FD0">
      <w:pPr>
        <w:tabs>
          <w:tab w:val="left" w:pos="1162"/>
        </w:tabs>
        <w:spacing w:after="0" w:line="276" w:lineRule="auto"/>
        <w:ind w:left="1134" w:hanging="1134"/>
        <w:rPr>
          <w:rFonts w:ascii="Arial" w:eastAsia="Arial" w:hAnsi="Arial" w:cs="Arial"/>
          <w:sz w:val="20"/>
          <w:szCs w:val="20"/>
        </w:rPr>
        <w:sectPr w:rsidR="00A031A6">
          <w:footerReference w:type="default" r:id="rId13"/>
          <w:type w:val="continuous"/>
          <w:pgSz w:w="11906" w:h="16838"/>
          <w:pgMar w:top="1440" w:right="1077" w:bottom="1440" w:left="1077" w:header="709" w:footer="709" w:gutter="0"/>
          <w:pgNumType w:start="4"/>
          <w:cols w:space="720"/>
        </w:sectPr>
      </w:pPr>
      <w:r>
        <w:rPr>
          <w:rFonts w:ascii="Arial" w:eastAsia="Arial" w:hAnsi="Arial" w:cs="Arial"/>
          <w:sz w:val="20"/>
          <w:szCs w:val="20"/>
        </w:rPr>
        <w:t xml:space="preserve">UNDP     </w:t>
      </w:r>
      <w:r>
        <w:rPr>
          <w:rFonts w:ascii="Arial" w:eastAsia="Arial" w:hAnsi="Arial" w:cs="Arial"/>
          <w:sz w:val="20"/>
          <w:szCs w:val="20"/>
        </w:rPr>
        <w:tab/>
        <w:t>United Nations Development Programme</w:t>
      </w:r>
    </w:p>
    <w:p w14:paraId="084CC6DD" w14:textId="77777777" w:rsidR="00A031A6" w:rsidRDefault="00916FD0">
      <w:pPr>
        <w:pStyle w:val="Heading1"/>
        <w:numPr>
          <w:ilvl w:val="0"/>
          <w:numId w:val="21"/>
        </w:numPr>
        <w:rPr>
          <w:sz w:val="44"/>
          <w:szCs w:val="44"/>
        </w:rPr>
      </w:pPr>
      <w:bookmarkStart w:id="1" w:name="_Toc62221367"/>
      <w:r>
        <w:rPr>
          <w:sz w:val="36"/>
          <w:szCs w:val="36"/>
        </w:rPr>
        <w:lastRenderedPageBreak/>
        <w:t>Executive summary</w:t>
      </w:r>
      <w:bookmarkEnd w:id="1"/>
    </w:p>
    <w:p w14:paraId="0475C58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Transitioning the energy sector to achieve the 2030 Agenda for Sustainable Development and the objectives of the Paris Agreement presents a complex and difficult task for policymakers. It needs to ensure sustained economic growth as well as respond to increasing energy demand, reduce emissions and, more importantly, consider and capitalize on the interlinkages between Sustainable Development Goal 7 (SDG 7) and other SDGs. In this connection, the United Nations Economic and Social Commission for Asia and the Pacific (ESCAP) has developed the National Expert SDG Tool for Energy Planning (</w:t>
      </w:r>
      <w:hyperlink r:id="rId14">
        <w:r>
          <w:rPr>
            <w:rFonts w:ascii="Arial" w:eastAsia="Arial" w:hAnsi="Arial" w:cs="Arial"/>
            <w:sz w:val="20"/>
            <w:szCs w:val="20"/>
          </w:rPr>
          <w:t>NEXSTEP</w:t>
        </w:r>
      </w:hyperlink>
      <w:r>
        <w:rPr>
          <w:rFonts w:ascii="Arial" w:eastAsia="Arial" w:hAnsi="Arial" w:cs="Arial"/>
          <w:sz w:val="20"/>
          <w:szCs w:val="20"/>
        </w:rPr>
        <w:t xml:space="preserve">).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outcomes. NEXSTEP also garnered the support of the Committee on Energy in its Second Session, with recommendations to expand the number of countries being supported by this tool. </w:t>
      </w:r>
    </w:p>
    <w:p w14:paraId="3527C38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key objective of this SDG 7 roadmap is to assist the Government of Indonesia develop enabling policy measures to achieve the targets of SDG 7. This roadmap contains a matrix of technological options and enabling policy measures for the Government to consider. It presents several scenarios that have been developed using national data, considering existing energy policies and strategies, and reflecting on other development plans. These scenarios are expected to enable the Government to make an informed decision to develop and implement a set of policies to achieve SDG 7 by 2030, together with NDC.</w:t>
      </w:r>
    </w:p>
    <w:p w14:paraId="5185ED8F" w14:textId="77777777" w:rsidR="00A031A6" w:rsidRDefault="00916FD0">
      <w:pPr>
        <w:pStyle w:val="Heading2"/>
        <w:numPr>
          <w:ilvl w:val="0"/>
          <w:numId w:val="2"/>
        </w:numPr>
        <w:spacing w:before="240" w:after="0"/>
        <w:ind w:left="473" w:right="227" w:hanging="360"/>
      </w:pPr>
      <w:bookmarkStart w:id="2" w:name="_Toc62221368"/>
      <w:r>
        <w:t>Highlights of the roadmap</w:t>
      </w:r>
      <w:bookmarkEnd w:id="2"/>
    </w:p>
    <w:p w14:paraId="19F77206" w14:textId="77777777" w:rsidR="00A031A6" w:rsidRDefault="00916FD0">
      <w:pPr>
        <w:spacing w:after="0" w:line="360" w:lineRule="auto"/>
        <w:ind w:left="124" w:right="113" w:hanging="10"/>
        <w:jc w:val="both"/>
        <w:rPr>
          <w:rFonts w:ascii="Arial" w:eastAsia="Arial" w:hAnsi="Arial" w:cs="Arial"/>
          <w:sz w:val="20"/>
          <w:szCs w:val="20"/>
        </w:rPr>
      </w:pPr>
      <w:r>
        <w:rPr>
          <w:rFonts w:ascii="Arial" w:eastAsia="Arial" w:hAnsi="Arial" w:cs="Arial"/>
          <w:sz w:val="20"/>
          <w:szCs w:val="20"/>
        </w:rPr>
        <w:t xml:space="preserve">Indonesia’s progress towards achieving the SDG 7 targets is promising, but the current pace will not be enough. Without a concerted effort and an enabling policy framework, Indonesia is unlikely to achieve all SDG 7 targets by 2030. The current level of progress in providing access to clean cooking fuels will need to shift from LPG cook stoves and focus on the promotion of electric cooking stoves, in order to connect the remaining 52 million people with clean cooking technology and fuel by 2030. The current plan for a 1 per cent annual improvement in final energy intensity will need to be boosted to 1.53 per cent in order to the achieve primary energy intensity target of 2.39 MJ/US$ by 2030. </w:t>
      </w:r>
    </w:p>
    <w:p w14:paraId="44DE194F" w14:textId="77777777" w:rsidR="00A031A6" w:rsidRDefault="00A031A6">
      <w:pPr>
        <w:spacing w:after="0" w:line="360" w:lineRule="auto"/>
        <w:ind w:left="113" w:right="227" w:hanging="10"/>
        <w:jc w:val="both"/>
        <w:rPr>
          <w:rFonts w:ascii="Arial" w:eastAsia="Arial" w:hAnsi="Arial" w:cs="Arial"/>
          <w:sz w:val="8"/>
          <w:szCs w:val="8"/>
        </w:rPr>
      </w:pPr>
    </w:p>
    <w:p w14:paraId="177DD055" w14:textId="77777777" w:rsidR="00A031A6" w:rsidRDefault="00916FD0">
      <w:pPr>
        <w:spacing w:after="0" w:line="360" w:lineRule="auto"/>
        <w:ind w:left="124" w:right="113" w:hanging="10"/>
        <w:jc w:val="both"/>
        <w:rPr>
          <w:rFonts w:ascii="Arial" w:eastAsia="Arial" w:hAnsi="Arial" w:cs="Arial"/>
          <w:sz w:val="20"/>
          <w:szCs w:val="20"/>
        </w:rPr>
      </w:pPr>
      <w:r>
        <w:rPr>
          <w:rFonts w:ascii="Arial" w:eastAsia="Arial" w:hAnsi="Arial" w:cs="Arial"/>
          <w:sz w:val="20"/>
          <w:szCs w:val="20"/>
        </w:rPr>
        <w:t>The existing trend indicates that the country will fail to achieve its 2025 renewable energy target as well as the emission reduction target pledged under the Paris Agreement. The share of renewable energy will need to increase to 22 per cent of total final energy consumption, which is a 6 per cent increase from the current rate, to enable Indonesia to achieve its NDC target for the energy sector together with the SDG 7 targets.</w:t>
      </w:r>
    </w:p>
    <w:p w14:paraId="50ADFE2E" w14:textId="77777777" w:rsidR="00A031A6" w:rsidRDefault="00A031A6">
      <w:pPr>
        <w:spacing w:after="0" w:line="360" w:lineRule="auto"/>
        <w:ind w:left="113" w:right="227" w:hanging="10"/>
        <w:jc w:val="both"/>
        <w:rPr>
          <w:rFonts w:ascii="Arial" w:eastAsia="Arial" w:hAnsi="Arial" w:cs="Arial"/>
          <w:sz w:val="8"/>
          <w:szCs w:val="8"/>
        </w:rPr>
      </w:pPr>
    </w:p>
    <w:p w14:paraId="3DFD187B" w14:textId="77777777" w:rsidR="00A031A6" w:rsidRDefault="00916FD0">
      <w:pPr>
        <w:spacing w:after="0" w:line="360" w:lineRule="auto"/>
        <w:ind w:left="141" w:right="113" w:hanging="27"/>
        <w:jc w:val="both"/>
        <w:rPr>
          <w:rFonts w:ascii="Arial" w:eastAsia="Arial" w:hAnsi="Arial" w:cs="Arial"/>
          <w:color w:val="000000"/>
          <w:sz w:val="20"/>
          <w:szCs w:val="20"/>
        </w:rPr>
        <w:sectPr w:rsidR="00A031A6">
          <w:type w:val="continuous"/>
          <w:pgSz w:w="11906" w:h="16838"/>
          <w:pgMar w:top="1440" w:right="1080" w:bottom="1440" w:left="1080" w:header="708" w:footer="708" w:gutter="0"/>
          <w:pgNumType w:start="1"/>
          <w:cols w:space="720"/>
        </w:sectPr>
      </w:pPr>
      <w:r>
        <w:rPr>
          <w:rFonts w:ascii="Arial" w:eastAsia="Arial" w:hAnsi="Arial" w:cs="Arial"/>
          <w:sz w:val="20"/>
          <w:szCs w:val="20"/>
        </w:rPr>
        <w:t>A deeper analysis indicates that commissioning new coal-fired power plants beyond 2020 is not feasible, from both the economic and environmental perspectives. A faster transition towards cleaner energy sources, especially renewables, will help Indonesia to meet its national energy security of supply and its NDC target. The lifecycle cost of renewables-based power generation is already cheaper than coal-fired energy; however, removal of fossil fuel subsidies from power generation and putting a price on carbon would further attract private investments in renewables.</w:t>
      </w:r>
    </w:p>
    <w:p w14:paraId="31A1047F" w14:textId="77777777" w:rsidR="00A031A6" w:rsidRDefault="00916FD0">
      <w:pPr>
        <w:pStyle w:val="Heading2"/>
        <w:numPr>
          <w:ilvl w:val="0"/>
          <w:numId w:val="2"/>
        </w:numPr>
        <w:ind w:hanging="360"/>
        <w:sectPr w:rsidR="00A031A6">
          <w:type w:val="continuous"/>
          <w:pgSz w:w="11906" w:h="16838"/>
          <w:pgMar w:top="1440" w:right="1440" w:bottom="1440" w:left="1440" w:header="708" w:footer="708" w:gutter="0"/>
          <w:pgNumType w:start="2"/>
          <w:cols w:space="720"/>
        </w:sectPr>
      </w:pPr>
      <w:bookmarkStart w:id="3" w:name="_Toc62221369"/>
      <w:r>
        <w:t>Achieving Indonesia’s SDG 7 and NDC targets by 2030</w:t>
      </w:r>
      <w:bookmarkEnd w:id="3"/>
    </w:p>
    <w:p w14:paraId="09363F80" w14:textId="77777777" w:rsidR="00A031A6" w:rsidRDefault="00916FD0">
      <w:pPr>
        <w:pStyle w:val="Heading3"/>
        <w:ind w:firstLine="716"/>
      </w:pPr>
      <w:bookmarkStart w:id="4" w:name="_Toc62221370"/>
      <w:r>
        <w:lastRenderedPageBreak/>
        <w:t>Universal access to electricity</w:t>
      </w:r>
      <w:bookmarkEnd w:id="4"/>
    </w:p>
    <w:p w14:paraId="012ED04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on track to achieve universal access to electricity by 2020. Achieving universal access to electricity is a priority for Government of Indonesia, The National Energy Policy (KEN) states that Indonesia should approach “near 100 per cent” access by 2020. Access to electricity is modelled based on the rural electrification plan of the Perusahaan Listrik Negara (PLN); NEXSTEP identifies off-grid renewables as the cost-effective approach to supplying electricity to the remaining population without access.</w:t>
      </w:r>
    </w:p>
    <w:p w14:paraId="7BF988F6" w14:textId="77777777" w:rsidR="00A031A6" w:rsidRDefault="00916FD0">
      <w:pPr>
        <w:pStyle w:val="Heading3"/>
        <w:ind w:firstLine="716"/>
      </w:pPr>
      <w:bookmarkStart w:id="5" w:name="_Toc62221371"/>
      <w:r>
        <w:t>Universal access to clean cooking</w:t>
      </w:r>
      <w:bookmarkEnd w:id="5"/>
    </w:p>
    <w:p w14:paraId="2F083CA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aims to provide 4.7 million city gas connections and 1.1 million biogas digesters for households by 2025 under the National Energy General Plan (RUEN). Promotion of clean cooking cookstoves at current annual rate of improvement of 8.7 percent from 2010 to 2018, will achieve SDG7 target by 2021. The increase is remarkable when compared to global average improvement of less than 1 per cent during the same period 2010 – 2018 (Tracking SDG7 Report, 2020).</w:t>
      </w:r>
    </w:p>
    <w:p w14:paraId="6A0BBEA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However, NEXSTEP analysis indicates if Indonesia continues to promote LPG cookstoves as the primary clean cooking technology the following issues are possible: increased reliance on LPG imports, increased vulnerability to global oil prices, increased fossil fuel subsidy burden and renewable energy in TFEC decrease. </w:t>
      </w:r>
    </w:p>
    <w:p w14:paraId="5F9D699A"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rPr>
      </w:pPr>
      <w:bookmarkStart w:id="6" w:name="_3dy6vkm" w:colFirst="0" w:colLast="0"/>
      <w:bookmarkEnd w:id="6"/>
      <w:r>
        <w:rPr>
          <w:rFonts w:ascii="Arial" w:eastAsia="Arial" w:hAnsi="Arial" w:cs="Arial"/>
          <w:b/>
          <w:color w:val="000000"/>
          <w:sz w:val="20"/>
          <w:szCs w:val="20"/>
        </w:rPr>
        <w:t>Figure ES 1. Indonesian access to clean cooking</w:t>
      </w:r>
    </w:p>
    <w:p w14:paraId="371FA85F" w14:textId="5B22B590" w:rsidR="00A031A6" w:rsidRDefault="006C44F1">
      <w:pPr>
        <w:spacing w:line="360" w:lineRule="auto"/>
        <w:jc w:val="center"/>
        <w:rPr>
          <w:noProof/>
        </w:rPr>
      </w:pPr>
      <w:r w:rsidRPr="006C44F1">
        <w:rPr>
          <w:noProof/>
        </w:rPr>
        <w:drawing>
          <wp:inline distT="0" distB="0" distL="0" distR="0" wp14:anchorId="5D9C2E2D" wp14:editId="794E7FEB">
            <wp:extent cx="5472718" cy="24962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8850" cy="2499050"/>
                    </a:xfrm>
                    <a:prstGeom prst="rect">
                      <a:avLst/>
                    </a:prstGeom>
                  </pic:spPr>
                </pic:pic>
              </a:graphicData>
            </a:graphic>
          </wp:inline>
        </w:drawing>
      </w:r>
    </w:p>
    <w:p w14:paraId="34E9127C" w14:textId="11DBC4F5" w:rsidR="006C44F1" w:rsidRDefault="006C44F1">
      <w:pPr>
        <w:spacing w:line="360" w:lineRule="auto"/>
        <w:jc w:val="center"/>
        <w:rPr>
          <w:rFonts w:ascii="Arial" w:eastAsia="Arial" w:hAnsi="Arial" w:cs="Arial"/>
          <w:sz w:val="20"/>
          <w:szCs w:val="20"/>
        </w:rPr>
        <w:sectPr w:rsidR="006C44F1">
          <w:type w:val="continuous"/>
          <w:pgSz w:w="11906" w:h="16838"/>
          <w:pgMar w:top="1440" w:right="1440" w:bottom="1440" w:left="1440" w:header="708" w:footer="708" w:gutter="0"/>
          <w:cols w:space="720"/>
        </w:sectPr>
      </w:pPr>
    </w:p>
    <w:p w14:paraId="6C76FB35" w14:textId="77777777" w:rsidR="00A031A6" w:rsidRDefault="00916FD0">
      <w:pPr>
        <w:pStyle w:val="Heading3"/>
        <w:ind w:firstLine="716"/>
      </w:pPr>
      <w:bookmarkStart w:id="7" w:name="_Toc62221372"/>
      <w:r>
        <w:t>Renewable energy</w:t>
      </w:r>
      <w:bookmarkEnd w:id="7"/>
    </w:p>
    <w:p w14:paraId="2B900A21"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analysis indicates that the current policies will fall short of Indonesia’s 2025 renewable energy target of 23 per cent and will only reach 17.7 per cent of the Total Primary Energy Supply (TPES) or 16.4 per cent of Total Final Energy Consumption (TFEC) by 2030. The SDG 7 goal and NDC unconditional target together would need a 22 per cent renewable energy share in TFEC by 2030.</w:t>
      </w:r>
      <w:r>
        <w:t xml:space="preserve"> </w:t>
      </w:r>
      <w:r>
        <w:rPr>
          <w:rFonts w:ascii="Arial" w:eastAsia="Arial" w:hAnsi="Arial" w:cs="Arial"/>
          <w:sz w:val="20"/>
          <w:szCs w:val="20"/>
        </w:rPr>
        <w:t xml:space="preserve">The increase will require a high penetration of renewable energy in the power sector as well as an increase in renewable energy in the transport sector. Looking further, new coal-fired power plants beyond 2020 </w:t>
      </w:r>
      <w:r>
        <w:rPr>
          <w:rFonts w:ascii="Arial" w:eastAsia="Arial" w:hAnsi="Arial" w:cs="Arial"/>
          <w:sz w:val="20"/>
          <w:szCs w:val="20"/>
        </w:rPr>
        <w:lastRenderedPageBreak/>
        <w:t>are seen to be an uneconomic option, as the lifecycle cost of renewable-based power generation is cheaper than the fossil fuel counterpart. Moreover, investors will face high-risk premiums in investing in fossil fuel-based power plants. Stopping new investment in coal-fired power plants will require renewables to grow to 24 per cent by 2030.</w:t>
      </w:r>
    </w:p>
    <w:p w14:paraId="4FE160CA" w14:textId="77777777" w:rsidR="00A031A6" w:rsidRDefault="00916FD0">
      <w:pPr>
        <w:pStyle w:val="Heading3"/>
        <w:ind w:firstLine="716"/>
      </w:pPr>
      <w:bookmarkStart w:id="8" w:name="_Toc62221373"/>
      <w:r>
        <w:t>Energy efficiency</w:t>
      </w:r>
      <w:bookmarkEnd w:id="8"/>
    </w:p>
    <w:p w14:paraId="144B0631"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current trend of energy intensity reduction indicates that Indonesia will need to revise its targeted annual 1 per cent reduction of final energy intensity to 1.53 per cent of primary energy intensity (figure ES 2) to achieve the SDG 7 target of 2.39 MJ/US$ by 2030, a drop from 2.87 MJ/US$ in 2018.</w:t>
      </w:r>
    </w:p>
    <w:p w14:paraId="1D39535B"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9" w:name="_2s8eyo1" w:colFirst="0" w:colLast="0"/>
      <w:bookmarkEnd w:id="9"/>
      <w:r>
        <w:rPr>
          <w:rFonts w:ascii="Arial" w:eastAsia="Arial" w:hAnsi="Arial" w:cs="Arial"/>
          <w:b/>
          <w:color w:val="000000"/>
          <w:sz w:val="20"/>
          <w:szCs w:val="20"/>
        </w:rPr>
        <w:t>Figure ES 2. Indonesia energy efficiency target</w:t>
      </w:r>
    </w:p>
    <w:p w14:paraId="3B3F7D76" w14:textId="1982C3F8" w:rsidR="00A031A6" w:rsidRDefault="006C44F1">
      <w:pPr>
        <w:jc w:val="center"/>
      </w:pPr>
      <w:r w:rsidRPr="006C44F1">
        <w:rPr>
          <w:noProof/>
        </w:rPr>
        <w:drawing>
          <wp:inline distT="0" distB="0" distL="0" distR="0" wp14:anchorId="48A4C61A" wp14:editId="4DBA341C">
            <wp:extent cx="5731510" cy="232346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23465"/>
                    </a:xfrm>
                    <a:prstGeom prst="rect">
                      <a:avLst/>
                    </a:prstGeom>
                  </pic:spPr>
                </pic:pic>
              </a:graphicData>
            </a:graphic>
          </wp:inline>
        </w:drawing>
      </w:r>
    </w:p>
    <w:p w14:paraId="0DBCE29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There are ample opportunities for Indonesia to achieve this target as well as implement a higher rate of improvement. These include, for example, a minimum energy efficiency standard (MEPS), rapid deployment of electric vehicles and improvement of energy efficiency of industrial processes. These opportunities are discussed in later sections of this report.</w:t>
      </w:r>
    </w:p>
    <w:p w14:paraId="224CD88D" w14:textId="77777777" w:rsidR="00A031A6" w:rsidRDefault="00916FD0">
      <w:pPr>
        <w:pStyle w:val="Heading3"/>
        <w:ind w:firstLine="716"/>
      </w:pPr>
      <w:bookmarkStart w:id="10" w:name="_Toc62221374"/>
      <w:r>
        <w:t>Nationally determined contributions</w:t>
      </w:r>
      <w:bookmarkEnd w:id="10"/>
    </w:p>
    <w:p w14:paraId="51AB132D" w14:textId="4AFA82EC" w:rsidR="00A031A6" w:rsidRDefault="00916FD0" w:rsidP="006C44F1">
      <w:pPr>
        <w:spacing w:line="360" w:lineRule="auto"/>
        <w:jc w:val="both"/>
        <w:rPr>
          <w:rFonts w:ascii="Arial" w:eastAsia="Arial" w:hAnsi="Arial" w:cs="Arial"/>
          <w:sz w:val="20"/>
          <w:szCs w:val="20"/>
        </w:rPr>
      </w:pPr>
      <w:r>
        <w:rPr>
          <w:rFonts w:ascii="Arial" w:eastAsia="Arial" w:hAnsi="Arial" w:cs="Arial"/>
          <w:sz w:val="20"/>
          <w:szCs w:val="20"/>
        </w:rPr>
        <w:t xml:space="preserve">In the current policy scenario, Indonesia will fail to achieve the unconditional NDC target of 11 per cent emissions reduction from the energy sector. Emissions will reach 825 MtCO2-e by 2030, compared to 880 MtCO2-e in the business as usual (BAU) scenario, falling short of reducing emissions by 11 per cent target by 42 MtCO2-e. Increasing Indonesia’s contribution to the Paris Agreement and to align the NDC target to the global 1.5-degree pathway, requires emissions to drop to 722 MtCO2-e (figure ES 3). This calls for urgent action to reduce new investment in coal-fired power plants from 2020 onwards and invest more in renewable energy.  </w:t>
      </w:r>
    </w:p>
    <w:p w14:paraId="077D6D02" w14:textId="71CB8DF6" w:rsidR="006C44F1" w:rsidRDefault="006C44F1" w:rsidP="006C44F1">
      <w:pPr>
        <w:spacing w:line="360" w:lineRule="auto"/>
        <w:jc w:val="both"/>
        <w:rPr>
          <w:rFonts w:ascii="Arial" w:eastAsia="Arial" w:hAnsi="Arial" w:cs="Arial"/>
          <w:sz w:val="20"/>
          <w:szCs w:val="20"/>
        </w:rPr>
      </w:pPr>
    </w:p>
    <w:p w14:paraId="291204F7" w14:textId="33552F1B" w:rsidR="006C44F1" w:rsidRDefault="006C44F1" w:rsidP="006C44F1">
      <w:pPr>
        <w:spacing w:line="360" w:lineRule="auto"/>
        <w:jc w:val="both"/>
        <w:rPr>
          <w:rFonts w:ascii="Arial" w:eastAsia="Arial" w:hAnsi="Arial" w:cs="Arial"/>
          <w:sz w:val="20"/>
          <w:szCs w:val="20"/>
        </w:rPr>
      </w:pPr>
    </w:p>
    <w:p w14:paraId="65FCDB33" w14:textId="30721CCE" w:rsidR="006C44F1" w:rsidRDefault="006C44F1" w:rsidP="006C44F1">
      <w:pPr>
        <w:spacing w:line="360" w:lineRule="auto"/>
        <w:jc w:val="both"/>
        <w:rPr>
          <w:rFonts w:ascii="Arial" w:eastAsia="Arial" w:hAnsi="Arial" w:cs="Arial"/>
          <w:sz w:val="20"/>
          <w:szCs w:val="20"/>
        </w:rPr>
      </w:pPr>
    </w:p>
    <w:p w14:paraId="24C7C62E" w14:textId="77777777" w:rsidR="006C44F1" w:rsidRPr="006C44F1" w:rsidRDefault="006C44F1" w:rsidP="006C44F1">
      <w:pPr>
        <w:spacing w:line="360" w:lineRule="auto"/>
        <w:jc w:val="both"/>
        <w:rPr>
          <w:rFonts w:ascii="Arial" w:eastAsia="Arial" w:hAnsi="Arial" w:cs="Arial"/>
          <w:sz w:val="20"/>
          <w:szCs w:val="20"/>
        </w:rPr>
      </w:pPr>
    </w:p>
    <w:p w14:paraId="74239A35"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1" w:name="_3rdcrjn" w:colFirst="0" w:colLast="0"/>
      <w:bookmarkEnd w:id="11"/>
      <w:r>
        <w:rPr>
          <w:rFonts w:ascii="Arial" w:eastAsia="Arial" w:hAnsi="Arial" w:cs="Arial"/>
          <w:b/>
          <w:color w:val="000000"/>
          <w:sz w:val="20"/>
          <w:szCs w:val="20"/>
        </w:rPr>
        <w:lastRenderedPageBreak/>
        <w:t>Figure ES 3. Comparison of emissions by scenarios, 2000-2030</w:t>
      </w:r>
    </w:p>
    <w:p w14:paraId="14DFE781" w14:textId="46992EE6" w:rsidR="006C44F1" w:rsidRDefault="006C44F1">
      <w:pPr>
        <w:tabs>
          <w:tab w:val="left" w:pos="4350"/>
          <w:tab w:val="center" w:pos="4513"/>
        </w:tabs>
        <w:spacing w:line="360" w:lineRule="auto"/>
        <w:rPr>
          <w:rFonts w:ascii="Arial" w:eastAsia="Arial" w:hAnsi="Arial" w:cs="Arial"/>
          <w:b/>
          <w:sz w:val="28"/>
          <w:szCs w:val="28"/>
        </w:rPr>
        <w:sectPr w:rsidR="006C44F1">
          <w:type w:val="continuous"/>
          <w:pgSz w:w="11906" w:h="16838"/>
          <w:pgMar w:top="1440" w:right="1440" w:bottom="1440" w:left="1440" w:header="709" w:footer="709" w:gutter="0"/>
          <w:cols w:space="720"/>
        </w:sectPr>
      </w:pPr>
      <w:r w:rsidRPr="006C44F1">
        <w:rPr>
          <w:rFonts w:ascii="Arial" w:eastAsia="Arial" w:hAnsi="Arial" w:cs="Arial"/>
          <w:b/>
          <w:noProof/>
          <w:sz w:val="28"/>
          <w:szCs w:val="28"/>
        </w:rPr>
        <w:drawing>
          <wp:inline distT="0" distB="0" distL="0" distR="0" wp14:anchorId="7DA8FA34" wp14:editId="1E65BE25">
            <wp:extent cx="5731510" cy="2532380"/>
            <wp:effectExtent l="0" t="0" r="254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32380"/>
                    </a:xfrm>
                    <a:prstGeom prst="rect">
                      <a:avLst/>
                    </a:prstGeom>
                  </pic:spPr>
                </pic:pic>
              </a:graphicData>
            </a:graphic>
          </wp:inline>
        </w:drawing>
      </w:r>
    </w:p>
    <w:p w14:paraId="6CC10A44" w14:textId="77777777" w:rsidR="00A031A6" w:rsidRDefault="00916FD0">
      <w:pPr>
        <w:pStyle w:val="Heading2"/>
        <w:numPr>
          <w:ilvl w:val="0"/>
          <w:numId w:val="2"/>
        </w:numPr>
        <w:ind w:hanging="360"/>
        <w:sectPr w:rsidR="00A031A6">
          <w:type w:val="continuous"/>
          <w:pgSz w:w="11906" w:h="16838"/>
          <w:pgMar w:top="1440" w:right="1440" w:bottom="1440" w:left="1440" w:header="708" w:footer="708" w:gutter="0"/>
          <w:cols w:space="720"/>
        </w:sectPr>
      </w:pPr>
      <w:bookmarkStart w:id="12" w:name="_Toc62221375"/>
      <w:r>
        <w:t>Important policy directions</w:t>
      </w:r>
      <w:bookmarkEnd w:id="12"/>
    </w:p>
    <w:p w14:paraId="44B3BAB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key policy recommendations to help Indonesia accelerate the energy transition to achieve SDG 7 and NDC targets include: </w:t>
      </w:r>
    </w:p>
    <w:p w14:paraId="3E0E69BA" w14:textId="77777777" w:rsidR="00A031A6" w:rsidRDefault="00916FD0">
      <w:pPr>
        <w:spacing w:line="360" w:lineRule="auto"/>
        <w:ind w:left="350" w:hanging="350"/>
        <w:jc w:val="both"/>
        <w:rPr>
          <w:rFonts w:ascii="Arial" w:eastAsia="Arial" w:hAnsi="Arial" w:cs="Arial"/>
          <w:sz w:val="20"/>
          <w:szCs w:val="20"/>
        </w:rPr>
      </w:pPr>
      <w:r>
        <w:rPr>
          <w:rFonts w:ascii="Arial" w:eastAsia="Arial" w:hAnsi="Arial" w:cs="Arial"/>
          <w:sz w:val="20"/>
          <w:szCs w:val="20"/>
        </w:rPr>
        <w:t>(a)</w:t>
      </w:r>
      <w:r>
        <w:rPr>
          <w:rFonts w:ascii="Arial" w:eastAsia="Arial" w:hAnsi="Arial" w:cs="Arial"/>
          <w:b/>
          <w:sz w:val="20"/>
          <w:szCs w:val="20"/>
        </w:rPr>
        <w:tab/>
      </w:r>
      <w:r>
        <w:rPr>
          <w:rFonts w:ascii="Arial" w:eastAsia="Arial" w:hAnsi="Arial" w:cs="Arial"/>
          <w:sz w:val="20"/>
          <w:szCs w:val="20"/>
        </w:rPr>
        <w:t>Efforts to achieve universal access to clean cooking needs to increase by three-fold. Electric cooking stove is the recommended technology option to achieve this target for Indonesia. This option should be prioritized for the areas where the electricity system experience surplus electricity supply e.g., the JAMALI (Java-Madura-Bali) system. Implementation of this program will cost the Government of Indonesia a total of Indonesian rupiah (IDR) 9.77 trillion (US$ 688 million)</w:t>
      </w:r>
      <w:r>
        <w:rPr>
          <w:rFonts w:ascii="Arial" w:eastAsia="Arial" w:hAnsi="Arial" w:cs="Arial"/>
          <w:sz w:val="20"/>
          <w:szCs w:val="20"/>
          <w:vertAlign w:val="superscript"/>
        </w:rPr>
        <w:footnoteReference w:id="1"/>
      </w:r>
      <w:r>
        <w:rPr>
          <w:rFonts w:ascii="Arial" w:eastAsia="Arial" w:hAnsi="Arial" w:cs="Arial"/>
          <w:sz w:val="20"/>
          <w:szCs w:val="20"/>
        </w:rPr>
        <w:t xml:space="preserve"> to achieve universal access to clean fuels and technologies for cooking;</w:t>
      </w:r>
    </w:p>
    <w:p w14:paraId="49FAD258" w14:textId="77777777" w:rsidR="00A031A6" w:rsidRDefault="00916FD0">
      <w:pPr>
        <w:spacing w:line="360" w:lineRule="auto"/>
        <w:ind w:left="360" w:hanging="360"/>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t>Improving energy efficiency beyond the current target of 1 per cent energy intensity reduction offers a cost-effective way to reduce energy expenditure and achieve the SDG 7 target.</w:t>
      </w:r>
      <w:r>
        <w:rPr>
          <w:rFonts w:ascii="Arial" w:eastAsia="Arial" w:hAnsi="Arial" w:cs="Arial"/>
          <w:b/>
          <w:sz w:val="20"/>
          <w:szCs w:val="20"/>
        </w:rPr>
        <w:t xml:space="preserve"> </w:t>
      </w:r>
      <w:r>
        <w:rPr>
          <w:rFonts w:ascii="Arial" w:eastAsia="Arial" w:hAnsi="Arial" w:cs="Arial"/>
          <w:sz w:val="20"/>
          <w:szCs w:val="20"/>
        </w:rPr>
        <w:t>Low- to no-cost measures, such as</w:t>
      </w:r>
      <w:r>
        <w:rPr>
          <w:rFonts w:ascii="Arial" w:eastAsia="Arial" w:hAnsi="Arial" w:cs="Arial"/>
          <w:b/>
          <w:sz w:val="20"/>
          <w:szCs w:val="20"/>
        </w:rPr>
        <w:t xml:space="preserve"> </w:t>
      </w:r>
      <w:r>
        <w:rPr>
          <w:rFonts w:ascii="Arial" w:eastAsia="Arial" w:hAnsi="Arial" w:cs="Arial"/>
          <w:sz w:val="20"/>
          <w:szCs w:val="20"/>
        </w:rPr>
        <w:t>efficient lighting, Minimum Energy Performance Standards (MEPS), switching to electric transport, improving fuel economy standards and improvement of industrial processes have a solid business case with quick returns on investment;</w:t>
      </w:r>
    </w:p>
    <w:p w14:paraId="366468A4" w14:textId="77777777" w:rsidR="00A031A6" w:rsidRDefault="00916FD0">
      <w:pPr>
        <w:spacing w:line="360" w:lineRule="auto"/>
        <w:ind w:left="350" w:hanging="350"/>
        <w:jc w:val="both"/>
        <w:rPr>
          <w:rFonts w:ascii="Arial" w:eastAsia="Arial" w:hAnsi="Arial" w:cs="Arial"/>
          <w:sz w:val="20"/>
          <w:szCs w:val="20"/>
        </w:rPr>
      </w:pPr>
      <w:r>
        <w:rPr>
          <w:rFonts w:ascii="Arial" w:eastAsia="Arial" w:hAnsi="Arial" w:cs="Arial"/>
          <w:sz w:val="20"/>
          <w:szCs w:val="20"/>
        </w:rPr>
        <w:t>(c)</w:t>
      </w:r>
      <w:r>
        <w:rPr>
          <w:rFonts w:ascii="Arial" w:eastAsia="Arial" w:hAnsi="Arial" w:cs="Arial"/>
          <w:b/>
          <w:sz w:val="20"/>
          <w:szCs w:val="20"/>
        </w:rPr>
        <w:tab/>
      </w:r>
      <w:r>
        <w:rPr>
          <w:rFonts w:ascii="Arial" w:eastAsia="Arial" w:hAnsi="Arial" w:cs="Arial"/>
          <w:sz w:val="20"/>
          <w:szCs w:val="20"/>
        </w:rPr>
        <w:t>Indonesia has the potential to contribute more to achieving the Paris Agreement by enhancing its NDC targets to align it with the 1.5°C compatible pathways. A rapid decline in national greenhouse gas emissions by 45 per cent, compared to 2010 levels, can be achieved by 2030. This will require the energy sector to reduce its emissions by 18 per cent, compared with BAU;</w:t>
      </w:r>
    </w:p>
    <w:p w14:paraId="450F19EB" w14:textId="77777777" w:rsidR="00A031A6" w:rsidRDefault="00916FD0">
      <w:pPr>
        <w:spacing w:line="360" w:lineRule="auto"/>
        <w:ind w:left="364" w:hanging="364"/>
        <w:jc w:val="both"/>
        <w:rPr>
          <w:rFonts w:ascii="Arial" w:eastAsia="Arial" w:hAnsi="Arial" w:cs="Arial"/>
          <w:b/>
          <w:sz w:val="20"/>
          <w:szCs w:val="20"/>
        </w:rPr>
      </w:pPr>
      <w:r>
        <w:rPr>
          <w:rFonts w:ascii="Arial" w:eastAsia="Arial" w:hAnsi="Arial" w:cs="Arial"/>
          <w:sz w:val="20"/>
          <w:szCs w:val="20"/>
        </w:rPr>
        <w:t>(d)</w:t>
      </w:r>
      <w:r>
        <w:rPr>
          <w:rFonts w:ascii="Arial" w:eastAsia="Arial" w:hAnsi="Arial" w:cs="Arial"/>
          <w:b/>
          <w:sz w:val="20"/>
          <w:szCs w:val="20"/>
        </w:rPr>
        <w:tab/>
      </w:r>
      <w:r>
        <w:rPr>
          <w:rFonts w:ascii="Arial" w:eastAsia="Arial" w:hAnsi="Arial" w:cs="Arial"/>
          <w:sz w:val="20"/>
          <w:szCs w:val="20"/>
        </w:rPr>
        <w:t>Investments in new coal-fired power generation are no longer cost-effective compared with renewables and should be stopped to avoid emissions lock-in.</w:t>
      </w:r>
      <w:r>
        <w:rPr>
          <w:rFonts w:ascii="Arial" w:eastAsia="Arial" w:hAnsi="Arial" w:cs="Arial"/>
          <w:b/>
          <w:sz w:val="20"/>
          <w:szCs w:val="20"/>
        </w:rPr>
        <w:t xml:space="preserve"> </w:t>
      </w:r>
      <w:r>
        <w:rPr>
          <w:rFonts w:ascii="Arial" w:eastAsia="Arial" w:hAnsi="Arial" w:cs="Arial"/>
          <w:sz w:val="20"/>
          <w:szCs w:val="20"/>
        </w:rPr>
        <w:t xml:space="preserve">Least-cost optimization analysis suggests that lifecycle costs of renewables, such as hydropower, geothermal, solar and biomass, </w:t>
      </w:r>
      <w:r>
        <w:rPr>
          <w:rFonts w:ascii="Arial" w:eastAsia="Arial" w:hAnsi="Arial" w:cs="Arial"/>
          <w:sz w:val="20"/>
          <w:szCs w:val="20"/>
        </w:rPr>
        <w:lastRenderedPageBreak/>
        <w:t>are cheaper than coal-fired technologies. The underlying financial risks of investment in coal-based power plants should not be ignored;</w:t>
      </w:r>
    </w:p>
    <w:p w14:paraId="10FF5875" w14:textId="77777777" w:rsidR="00A031A6" w:rsidRDefault="00916FD0">
      <w:pPr>
        <w:spacing w:line="360" w:lineRule="auto"/>
        <w:ind w:left="426" w:hanging="426"/>
        <w:jc w:val="both"/>
        <w:rPr>
          <w:rFonts w:ascii="Arial" w:eastAsia="Arial" w:hAnsi="Arial" w:cs="Arial"/>
          <w:sz w:val="20"/>
          <w:szCs w:val="20"/>
        </w:rPr>
      </w:pPr>
      <w:r>
        <w:t>(e)</w:t>
      </w:r>
      <w:r>
        <w:rPr>
          <w:rFonts w:ascii="Arial" w:eastAsia="Arial" w:hAnsi="Arial" w:cs="Arial"/>
          <w:b/>
          <w:sz w:val="20"/>
          <w:szCs w:val="20"/>
        </w:rPr>
        <w:tab/>
      </w:r>
      <w:r>
        <w:rPr>
          <w:rFonts w:ascii="Arial" w:eastAsia="Arial" w:hAnsi="Arial" w:cs="Arial"/>
          <w:sz w:val="20"/>
          <w:szCs w:val="20"/>
        </w:rPr>
        <w:t>Financing the low-carbon transition through carbon pricing, removing fossil fuel subsidies and the issuance of green bonds should be encouraged.</w:t>
      </w:r>
      <w:r>
        <w:rPr>
          <w:rFonts w:ascii="Arial" w:eastAsia="Arial" w:hAnsi="Arial" w:cs="Arial"/>
          <w:b/>
          <w:sz w:val="20"/>
          <w:szCs w:val="20"/>
        </w:rPr>
        <w:t xml:space="preserve"> </w:t>
      </w:r>
      <w:r>
        <w:rPr>
          <w:rFonts w:ascii="Arial" w:eastAsia="Arial" w:hAnsi="Arial" w:cs="Arial"/>
          <w:sz w:val="20"/>
          <w:szCs w:val="20"/>
        </w:rPr>
        <w:t xml:space="preserve">Indonesia has </w:t>
      </w:r>
      <w:r>
        <w:rPr>
          <w:rFonts w:ascii="Arial" w:eastAsia="Arial" w:hAnsi="Arial" w:cs="Arial"/>
          <w:color w:val="000000"/>
          <w:sz w:val="20"/>
          <w:szCs w:val="20"/>
        </w:rPr>
        <w:t xml:space="preserve">already proved itself a leader in reducing fossil fuel subsidies. Further measures to eliminate remaining subsidies, particularly those for power generation, would save an annual fiscal cost of IDR 101.32 trillion (US$ 7.13 billion) and level the playing field for renewables. Placing a price on carbon will internalise the externality cost of fossil fuel-based power generation and establish a market mechanism to reduce </w:t>
      </w:r>
      <w:r>
        <w:rPr>
          <w:rFonts w:ascii="Arial" w:eastAsia="Arial" w:hAnsi="Arial" w:cs="Arial"/>
          <w:sz w:val="20"/>
          <w:szCs w:val="20"/>
        </w:rPr>
        <w:t xml:space="preserve">GHG emissions. The introduction of green financing, such as through green bonds, would alleviate the burden of large capital investments needed for the 2030 energy transition.  </w:t>
      </w:r>
    </w:p>
    <w:p w14:paraId="6F622B01" w14:textId="46C7B72C" w:rsidR="006C44F1" w:rsidRDefault="006C44F1">
      <w:pPr>
        <w:rPr>
          <w:rFonts w:ascii="Arial" w:eastAsia="Arial" w:hAnsi="Arial" w:cs="Arial"/>
          <w:sz w:val="20"/>
          <w:szCs w:val="20"/>
        </w:rPr>
      </w:pPr>
      <w:r>
        <w:rPr>
          <w:rFonts w:ascii="Arial" w:eastAsia="Arial" w:hAnsi="Arial" w:cs="Arial"/>
          <w:sz w:val="20"/>
          <w:szCs w:val="20"/>
        </w:rPr>
        <w:br w:type="page"/>
      </w:r>
    </w:p>
    <w:p w14:paraId="76CAECBF" w14:textId="77777777" w:rsidR="006C44F1" w:rsidRDefault="006C44F1">
      <w:pPr>
        <w:spacing w:line="360" w:lineRule="auto"/>
        <w:ind w:left="426" w:hanging="426"/>
        <w:jc w:val="both"/>
        <w:rPr>
          <w:b/>
        </w:rPr>
        <w:sectPr w:rsidR="006C44F1">
          <w:type w:val="continuous"/>
          <w:pgSz w:w="11906" w:h="16838"/>
          <w:pgMar w:top="1304" w:right="1440" w:bottom="1134" w:left="1440" w:header="709" w:footer="709" w:gutter="0"/>
          <w:cols w:space="720"/>
        </w:sectPr>
      </w:pPr>
    </w:p>
    <w:p w14:paraId="2418AF04" w14:textId="77777777" w:rsidR="00A031A6" w:rsidRDefault="00916FD0">
      <w:pPr>
        <w:pBdr>
          <w:top w:val="nil"/>
          <w:left w:val="nil"/>
          <w:bottom w:val="nil"/>
          <w:right w:val="nil"/>
          <w:between w:val="nil"/>
        </w:pBdr>
        <w:spacing w:after="120" w:line="240" w:lineRule="auto"/>
        <w:ind w:left="720"/>
        <w:jc w:val="center"/>
        <w:rPr>
          <w:i/>
          <w:color w:val="44546A"/>
          <w:sz w:val="18"/>
          <w:szCs w:val="18"/>
        </w:rPr>
      </w:pPr>
      <w:bookmarkStart w:id="13" w:name="_lnxbz9" w:colFirst="0" w:colLast="0"/>
      <w:bookmarkEnd w:id="13"/>
      <w:r>
        <w:rPr>
          <w:rFonts w:ascii="Arial" w:eastAsia="Arial" w:hAnsi="Arial" w:cs="Arial"/>
          <w:b/>
          <w:color w:val="000000"/>
          <w:sz w:val="20"/>
          <w:szCs w:val="20"/>
        </w:rPr>
        <w:lastRenderedPageBreak/>
        <w:t>Figure ES 4. Forecast of Indonesia’s SDG 7 and NDC targets by 2030</w:t>
      </w:r>
    </w:p>
    <w:p w14:paraId="4E26DBBA" w14:textId="77777777" w:rsidR="00A031A6" w:rsidRDefault="00A031A6">
      <w:pPr>
        <w:spacing w:line="360" w:lineRule="auto"/>
        <w:jc w:val="both"/>
        <w:rPr>
          <w:rFonts w:ascii="Arial" w:eastAsia="Arial" w:hAnsi="Arial" w:cs="Arial"/>
          <w:b/>
          <w:sz w:val="28"/>
          <w:szCs w:val="28"/>
        </w:rPr>
      </w:pPr>
    </w:p>
    <w:p w14:paraId="61FEE46C" w14:textId="1FEEC08F" w:rsidR="006C44F1" w:rsidRDefault="006C44F1">
      <w:pPr>
        <w:spacing w:line="360" w:lineRule="auto"/>
        <w:jc w:val="both"/>
        <w:rPr>
          <w:rFonts w:ascii="Arial" w:eastAsia="Arial" w:hAnsi="Arial" w:cs="Arial"/>
          <w:b/>
          <w:sz w:val="28"/>
          <w:szCs w:val="28"/>
        </w:rPr>
        <w:sectPr w:rsidR="006C44F1">
          <w:type w:val="continuous"/>
          <w:pgSz w:w="11906" w:h="16838"/>
          <w:pgMar w:top="1440" w:right="1304" w:bottom="1440" w:left="1134" w:header="709" w:footer="709" w:gutter="0"/>
          <w:cols w:space="720"/>
        </w:sectPr>
      </w:pPr>
      <w:r w:rsidRPr="006C44F1">
        <w:rPr>
          <w:rFonts w:ascii="Arial" w:eastAsia="Arial" w:hAnsi="Arial" w:cs="Arial"/>
          <w:b/>
          <w:noProof/>
          <w:sz w:val="28"/>
          <w:szCs w:val="28"/>
        </w:rPr>
        <w:drawing>
          <wp:inline distT="0" distB="0" distL="0" distR="0" wp14:anchorId="255DF1E9" wp14:editId="201647D2">
            <wp:extent cx="6001588" cy="765916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1588" cy="7659169"/>
                    </a:xfrm>
                    <a:prstGeom prst="rect">
                      <a:avLst/>
                    </a:prstGeom>
                  </pic:spPr>
                </pic:pic>
              </a:graphicData>
            </a:graphic>
          </wp:inline>
        </w:drawing>
      </w:r>
    </w:p>
    <w:p w14:paraId="0A8DF760" w14:textId="77777777" w:rsidR="00A031A6" w:rsidRDefault="00916FD0">
      <w:pPr>
        <w:pStyle w:val="Heading1"/>
        <w:numPr>
          <w:ilvl w:val="0"/>
          <w:numId w:val="21"/>
        </w:numPr>
        <w:spacing w:after="0"/>
        <w:sectPr w:rsidR="00A031A6">
          <w:pgSz w:w="11906" w:h="16838"/>
          <w:pgMar w:top="1304" w:right="1440" w:bottom="1134" w:left="1440" w:header="709" w:footer="709" w:gutter="0"/>
          <w:cols w:space="720"/>
        </w:sectPr>
      </w:pPr>
      <w:bookmarkStart w:id="14" w:name="_Toc62221376"/>
      <w:r>
        <w:lastRenderedPageBreak/>
        <w:t>Introduction</w:t>
      </w:r>
      <w:bookmarkEnd w:id="14"/>
    </w:p>
    <w:p w14:paraId="0357E62F" w14:textId="77777777" w:rsidR="00A031A6" w:rsidRDefault="00916FD0">
      <w:pPr>
        <w:pStyle w:val="Heading2"/>
        <w:numPr>
          <w:ilvl w:val="1"/>
          <w:numId w:val="21"/>
        </w:numPr>
      </w:pPr>
      <w:bookmarkStart w:id="15" w:name="_Toc62221377"/>
      <w:r>
        <w:t>Background</w:t>
      </w:r>
      <w:bookmarkEnd w:id="15"/>
    </w:p>
    <w:p w14:paraId="5E26576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Transitioning the energy sector to achieve the 2030 Agenda for Sustainable Development and the objectives of the Paris Agreement presents a complex and difficult task for policymakers. It needs to ensure sustained economic growth, respond to increasing energy demand, reduce emissions and, more importantly, consider and capitalize on the interlinkages between Sustainable Development Goal 7 (SDG 7) and other SDGs. In this connection, the United Nations Economic and Social Commission for Asia and the Pacific (ESCAP) has developed the National Expert SDG Tool for Energy Planning (NEXSTEP).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outcomes. NEXSTEP also garnered the support of the Committee on Energy in its Second Session, with recommendations to expand the number of countries being supported by this tool.</w:t>
      </w:r>
    </w:p>
    <w:p w14:paraId="7FF45C23" w14:textId="77777777" w:rsidR="00A031A6" w:rsidRDefault="00916FD0">
      <w:pPr>
        <w:pStyle w:val="Heading2"/>
        <w:numPr>
          <w:ilvl w:val="1"/>
          <w:numId w:val="21"/>
        </w:numPr>
      </w:pPr>
      <w:bookmarkStart w:id="16" w:name="_Toc62221378"/>
      <w:r>
        <w:rPr>
          <w:noProof/>
        </w:rPr>
        <w:drawing>
          <wp:anchor distT="0" distB="0" distL="114300" distR="114300" simplePos="0" relativeHeight="251658240" behindDoc="0" locked="0" layoutInCell="1" hidden="0" allowOverlap="1" wp14:anchorId="52BF1F0D" wp14:editId="091717A8">
            <wp:simplePos x="0" y="0"/>
            <wp:positionH relativeFrom="margin">
              <wp:posOffset>3725545</wp:posOffset>
            </wp:positionH>
            <wp:positionV relativeFrom="paragraph">
              <wp:posOffset>320675</wp:posOffset>
            </wp:positionV>
            <wp:extent cx="1944000" cy="2116800"/>
            <wp:effectExtent l="0" t="0" r="0" b="4445"/>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808" r="4077"/>
                    <a:stretch>
                      <a:fillRect/>
                    </a:stretch>
                  </pic:blipFill>
                  <pic:spPr>
                    <a:xfrm>
                      <a:off x="0" y="0"/>
                      <a:ext cx="1944000" cy="2116800"/>
                    </a:xfrm>
                    <a:prstGeom prst="rect">
                      <a:avLst/>
                    </a:prstGeom>
                    <a:ln/>
                  </pic:spPr>
                </pic:pic>
              </a:graphicData>
            </a:graphic>
            <wp14:sizeRelH relativeFrom="margin">
              <wp14:pctWidth>0</wp14:pctWidth>
            </wp14:sizeRelH>
            <wp14:sizeRelV relativeFrom="margin">
              <wp14:pctHeight>0</wp14:pctHeight>
            </wp14:sizeRelV>
          </wp:anchor>
        </w:drawing>
      </w:r>
      <w:r>
        <w:t>SDG 7 targets and indicators</w:t>
      </w:r>
      <w:bookmarkEnd w:id="16"/>
    </w:p>
    <w:p w14:paraId="5C7FBAB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SDG 7 aims to ensure access to affordable, reliable, sustainable and modern energy for all. It has three key targets, which are outlined below.</w:t>
      </w:r>
    </w:p>
    <w:p w14:paraId="2B2B4FE8" w14:textId="77777777" w:rsidR="00A031A6" w:rsidRDefault="00916FD0">
      <w:pPr>
        <w:spacing w:line="360" w:lineRule="auto"/>
        <w:ind w:left="224" w:hanging="224"/>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Target 7.1. “By 2030, ensure universal access to affordable, reliable and modern energy services.” Two indicators are used to measure this target: (a) the proportion of the population with access to electricity; and (b) the proportion of the population with primary reliance on clean cooking fuels and technology. </w:t>
      </w:r>
    </w:p>
    <w:p w14:paraId="37A5450F" w14:textId="77777777" w:rsidR="00A031A6" w:rsidRDefault="00916FD0">
      <w:pPr>
        <w:spacing w:line="360" w:lineRule="auto"/>
        <w:ind w:left="224" w:hanging="238"/>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Target 7.2. “By 2030, increase substantially the share of renewable energy in the global energy mix”. This is measured by the renewable energy share in total final energy consumption (TFEC). It is calculated by dividing the consumption of energy from all renewable sources by total energy consumption. Renewable energy consumption includes consumption of energy derived from hydropower, solid biofuels (including traditional use), wind, solar, liquid biofuels, biogas, geothermal, marine and waste. Due to the inherent complexity of accurately estimating traditional use of biomass, NEXSTEP focuses entirely on modern renewables (excluding traditional use of biomass) for meeting this target. </w:t>
      </w:r>
    </w:p>
    <w:p w14:paraId="5A5718C1" w14:textId="77777777" w:rsidR="00A031A6" w:rsidRDefault="00916FD0">
      <w:pPr>
        <w:spacing w:line="360" w:lineRule="auto"/>
        <w:ind w:left="224" w:hanging="224"/>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Target 7.3. “By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w:t>
      </w:r>
    </w:p>
    <w:p w14:paraId="5A5D88D1" w14:textId="77777777" w:rsidR="00A031A6" w:rsidRDefault="00A031A6">
      <w:pPr>
        <w:spacing w:line="360" w:lineRule="auto"/>
        <w:jc w:val="both"/>
        <w:rPr>
          <w:rFonts w:ascii="Arial" w:eastAsia="Arial" w:hAnsi="Arial" w:cs="Arial"/>
          <w:sz w:val="20"/>
          <w:szCs w:val="20"/>
        </w:rPr>
      </w:pPr>
    </w:p>
    <w:p w14:paraId="5156988F" w14:textId="77777777" w:rsidR="00A031A6" w:rsidRDefault="00916FD0">
      <w:pPr>
        <w:pStyle w:val="Heading2"/>
        <w:numPr>
          <w:ilvl w:val="1"/>
          <w:numId w:val="21"/>
        </w:numPr>
      </w:pPr>
      <w:bookmarkStart w:id="17" w:name="_Toc62221379"/>
      <w:r>
        <w:t>Nationally Determined Contributions</w:t>
      </w:r>
      <w:bookmarkEnd w:id="17"/>
    </w:p>
    <w:p w14:paraId="02278F9A" w14:textId="77777777" w:rsidR="00A031A6" w:rsidRDefault="00916FD0">
      <w:pPr>
        <w:spacing w:line="360" w:lineRule="auto"/>
        <w:jc w:val="both"/>
        <w:rPr>
          <w:rFonts w:ascii="Arial" w:eastAsia="Arial" w:hAnsi="Arial" w:cs="Arial"/>
          <w:sz w:val="20"/>
          <w:szCs w:val="20"/>
        </w:rPr>
        <w:sectPr w:rsidR="00A031A6">
          <w:type w:val="continuous"/>
          <w:pgSz w:w="11906" w:h="16838"/>
          <w:pgMar w:top="1304" w:right="1440" w:bottom="1134" w:left="1440" w:header="709" w:footer="709" w:gutter="0"/>
          <w:cols w:space="720"/>
        </w:sectPr>
      </w:pPr>
      <w:r>
        <w:rPr>
          <w:rFonts w:ascii="Arial" w:eastAsia="Arial" w:hAnsi="Arial" w:cs="Arial"/>
          <w:sz w:val="20"/>
          <w:szCs w:val="20"/>
        </w:rPr>
        <w:t>Nationally Determined Contributions (NDCs) represent pledges by each country to reduce national emissions and are the stepping-stones to the implementation of the Paris Agreement. Since the energy sector is the largest contributor to greenhouse gas (GHG)</w:t>
      </w:r>
      <w:r>
        <w:rPr>
          <w:rFonts w:ascii="Arial" w:eastAsia="Arial" w:hAnsi="Arial" w:cs="Arial"/>
          <w:sz w:val="20"/>
          <w:szCs w:val="20"/>
          <w:vertAlign w:val="superscript"/>
        </w:rPr>
        <w:footnoteReference w:id="2"/>
      </w:r>
      <w:r>
        <w:rPr>
          <w:rFonts w:ascii="Arial" w:eastAsia="Arial" w:hAnsi="Arial" w:cs="Arial"/>
          <w:sz w:val="20"/>
          <w:szCs w:val="20"/>
        </w:rPr>
        <w:t xml:space="preserve"> emissions in most countries, decarbonizing energy systems should be given high priority. Key approaches to reducing emissions from the energy sector include increasing renewable energy in the generation mix and improving energy efficiency. In its NDC document, Indonesia has pledged to reduce GHG emission by 29 per cent (unconditional) compared to BAU, and 41 per cent (conditional) with international support compared to BAU by 2030. The contribution of the energy sector towards these targets is estimated to be 11 per cent (unconditional) and 14 per cent (conditional).</w:t>
      </w:r>
    </w:p>
    <w:p w14:paraId="42BCBEC4" w14:textId="77777777" w:rsidR="00A031A6" w:rsidRDefault="00916FD0">
      <w:pPr>
        <w:rPr>
          <w:rFonts w:ascii="Arial" w:eastAsia="Arial" w:hAnsi="Arial" w:cs="Arial"/>
          <w:b/>
          <w:sz w:val="28"/>
          <w:szCs w:val="28"/>
        </w:rPr>
      </w:pPr>
      <w:r>
        <w:br w:type="page"/>
      </w:r>
    </w:p>
    <w:p w14:paraId="5DEF4B68" w14:textId="77777777" w:rsidR="00A031A6" w:rsidRDefault="00916FD0">
      <w:pPr>
        <w:pStyle w:val="Heading1"/>
        <w:numPr>
          <w:ilvl w:val="0"/>
          <w:numId w:val="21"/>
        </w:numPr>
        <w:sectPr w:rsidR="00A031A6">
          <w:type w:val="continuous"/>
          <w:pgSz w:w="11906" w:h="16838"/>
          <w:pgMar w:top="1304" w:right="1440" w:bottom="1134" w:left="1440" w:header="709" w:footer="709" w:gutter="0"/>
          <w:cols w:space="720"/>
        </w:sectPr>
      </w:pPr>
      <w:bookmarkStart w:id="18" w:name="_Toc62221380"/>
      <w:r>
        <w:lastRenderedPageBreak/>
        <w:t>NEXSTEP methodology</w:t>
      </w:r>
      <w:bookmarkEnd w:id="18"/>
    </w:p>
    <w:p w14:paraId="402CBC5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main purpose of NEXSTEP is to help design the type and mix of policies that will enable the achievement of the SDG 7 targets and the emission reduction targets (under NDCs) through policy analysis. However, policy analysis cannot be done without (a) modelling energy systems to forecast/backcast energy and emissions, and (b) economic analysis to assess which policies or options would be economically suitable. Based on this, a three-step approach has been proposed. Each step is discussed in the following sections. </w:t>
      </w:r>
    </w:p>
    <w:p w14:paraId="0F41E3C5" w14:textId="77777777" w:rsidR="00A031A6" w:rsidRDefault="00916FD0">
      <w:pPr>
        <w:pStyle w:val="Heading2"/>
        <w:numPr>
          <w:ilvl w:val="1"/>
          <w:numId w:val="21"/>
        </w:numPr>
      </w:pPr>
      <w:bookmarkStart w:id="19" w:name="_Toc62221381"/>
      <w:r>
        <w:t>Key methodological steps</w:t>
      </w:r>
      <w:bookmarkEnd w:id="19"/>
    </w:p>
    <w:p w14:paraId="6DCBBCB4" w14:textId="77777777" w:rsidR="00A031A6" w:rsidRDefault="00916FD0">
      <w:pPr>
        <w:pStyle w:val="Heading3"/>
        <w:numPr>
          <w:ilvl w:val="0"/>
          <w:numId w:val="26"/>
        </w:numPr>
        <w:ind w:left="322"/>
      </w:pPr>
      <w:bookmarkStart w:id="20" w:name="_Toc62221382"/>
      <w:r>
        <w:t>Energy and emissions modelling</w:t>
      </w:r>
      <w:bookmarkEnd w:id="20"/>
      <w:r>
        <w:t xml:space="preserve"> </w:t>
      </w:r>
    </w:p>
    <w:p w14:paraId="3C1331D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NEXSTEP begins with energy systems modelling for developing different scenarios to achieve SDG 7 by identifying potential technical options for each scenario. Each scenario contains important information, including the final energy (electricity and heat) requirement by 2030, possible generation/supply mix, emissions and the size of investment required. The energy and emissions modelling component use the Low Emissions Analysis Platform (LEAP). It is a widely used tool for energy sector modelling and for creating energy and emissions scenarios. Many countries have used LEAP to develop scenarios as a basis for their Intended Nationally Determined Contributions (INDCs). The Least Cost Optimization method is used to calculate the optimal expansion and dispatch of the electric power system. Figure 1 shows the different steps of the methodology. </w:t>
      </w:r>
    </w:p>
    <w:p w14:paraId="476ACC1B" w14:textId="77777777" w:rsidR="00A031A6" w:rsidRDefault="00916FD0">
      <w:pPr>
        <w:pStyle w:val="Heading3"/>
        <w:numPr>
          <w:ilvl w:val="0"/>
          <w:numId w:val="26"/>
        </w:numPr>
        <w:ind w:left="322" w:hanging="308"/>
      </w:pPr>
      <w:bookmarkStart w:id="21" w:name="_Toc62221383"/>
      <w:r>
        <w:t>Economic analysis module</w:t>
      </w:r>
      <w:bookmarkEnd w:id="21"/>
      <w:r>
        <w:t xml:space="preserve"> </w:t>
      </w:r>
    </w:p>
    <w:p w14:paraId="672515F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energy and emissions modelling section selects the appropriate technologies, and the economic analysis builds on this by selecting the least cost energy supply mix for the country. The economic analysis is used to examine economic performances of individual technical options identified and prioritize least-cost options. As such, it is important to estimate some of the key economic parameters such as net present value, internal rate of return, and payback period. A ranking of selected technologies will help policymakers to identify and select economically effective projects for better allocation of resources. The economic analysis helps present several economic parameters and indicators that would be useful for policymakers in making an informed policy decision.</w:t>
      </w:r>
    </w:p>
    <w:p w14:paraId="14C80BEF" w14:textId="77777777" w:rsidR="00A031A6" w:rsidRDefault="00916FD0">
      <w:pPr>
        <w:pStyle w:val="Heading3"/>
        <w:numPr>
          <w:ilvl w:val="0"/>
          <w:numId w:val="26"/>
        </w:numPr>
        <w:ind w:left="284"/>
      </w:pPr>
      <w:bookmarkStart w:id="22" w:name="_Toc62221384"/>
      <w:r>
        <w:t>Scenario and policy analysis</w:t>
      </w:r>
      <w:bookmarkEnd w:id="22"/>
      <w:r>
        <w:t xml:space="preserve"> </w:t>
      </w:r>
    </w:p>
    <w:p w14:paraId="597E7E9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Using the Multi-Criteria Decision Analysis (MCDA) tool, this prioritized list of scenarios is assessed in terms of their techno-economic for the energy sector, and environmental dimensions to convert to a policy measure. The top-ranked scenario from the MCDA process is essentially the output of NEXSTEP, which is then used to develop policy recommendations.</w:t>
      </w:r>
    </w:p>
    <w:p w14:paraId="70E93754" w14:textId="0B552EE8" w:rsidR="00A031A6" w:rsidRDefault="00916FD0" w:rsidP="006C44F1">
      <w:pPr>
        <w:keepNext/>
        <w:spacing w:line="360" w:lineRule="auto"/>
        <w:jc w:val="center"/>
        <w:rPr>
          <w:rFonts w:ascii="Arial" w:eastAsia="Arial" w:hAnsi="Arial" w:cs="Arial"/>
          <w:b/>
        </w:rPr>
      </w:pPr>
      <w:r>
        <w:rPr>
          <w:rFonts w:ascii="Arial" w:eastAsia="Arial" w:hAnsi="Arial" w:cs="Arial"/>
          <w:sz w:val="20"/>
          <w:szCs w:val="20"/>
        </w:rPr>
        <w:lastRenderedPageBreak/>
        <w:t xml:space="preserve"> </w:t>
      </w:r>
      <w:bookmarkStart w:id="23" w:name="_1ci93xb" w:colFirst="0" w:colLast="0"/>
      <w:bookmarkEnd w:id="23"/>
      <w:r>
        <w:rPr>
          <w:rFonts w:ascii="Arial" w:eastAsia="Arial" w:hAnsi="Arial" w:cs="Arial"/>
          <w:b/>
          <w:sz w:val="20"/>
          <w:szCs w:val="20"/>
        </w:rPr>
        <w:t>Figure 1. Different components of the NEXSTEP methodology</w:t>
      </w:r>
    </w:p>
    <w:p w14:paraId="3DFC7B51" w14:textId="52EE89F6" w:rsidR="00A031A6" w:rsidRDefault="006C44F1">
      <w:pPr>
        <w:keepNext/>
        <w:spacing w:line="360" w:lineRule="auto"/>
        <w:jc w:val="center"/>
        <w:rPr>
          <w:rFonts w:ascii="Arial" w:eastAsia="Arial" w:hAnsi="Arial" w:cs="Arial"/>
          <w:b/>
          <w:sz w:val="20"/>
          <w:szCs w:val="20"/>
        </w:rPr>
      </w:pPr>
      <w:r w:rsidRPr="006C44F1">
        <w:rPr>
          <w:rFonts w:ascii="Arial" w:eastAsia="Arial" w:hAnsi="Arial" w:cs="Arial"/>
          <w:b/>
          <w:noProof/>
          <w:sz w:val="20"/>
          <w:szCs w:val="20"/>
        </w:rPr>
        <w:drawing>
          <wp:inline distT="0" distB="0" distL="0" distR="0" wp14:anchorId="242F8340" wp14:editId="4E411DA7">
            <wp:extent cx="5731510" cy="203898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38985"/>
                    </a:xfrm>
                    <a:prstGeom prst="rect">
                      <a:avLst/>
                    </a:prstGeom>
                  </pic:spPr>
                </pic:pic>
              </a:graphicData>
            </a:graphic>
          </wp:inline>
        </w:drawing>
      </w:r>
    </w:p>
    <w:p w14:paraId="1A139830" w14:textId="77777777" w:rsidR="00A031A6" w:rsidRDefault="00916FD0">
      <w:pPr>
        <w:jc w:val="both"/>
        <w:rPr>
          <w:rFonts w:ascii="Arial" w:eastAsia="Arial" w:hAnsi="Arial" w:cs="Arial"/>
          <w:i/>
          <w:color w:val="0070C0"/>
          <w:sz w:val="18"/>
          <w:szCs w:val="18"/>
        </w:rPr>
        <w:sectPr w:rsidR="00A031A6">
          <w:type w:val="continuous"/>
          <w:pgSz w:w="11906" w:h="16838"/>
          <w:pgMar w:top="1304" w:right="1440" w:bottom="1134" w:left="1440" w:header="709" w:footer="709" w:gutter="0"/>
          <w:cols w:space="720"/>
        </w:sectPr>
      </w:pPr>
      <w:r>
        <w:rPr>
          <w:rFonts w:ascii="Arial" w:eastAsia="Arial" w:hAnsi="Arial" w:cs="Arial"/>
          <w:b/>
          <w:i/>
          <w:color w:val="0070C0"/>
          <w:sz w:val="18"/>
          <w:szCs w:val="18"/>
        </w:rPr>
        <w:t xml:space="preserve">Note: </w:t>
      </w:r>
      <w:r>
        <w:rPr>
          <w:rFonts w:ascii="Arial" w:eastAsia="Arial" w:hAnsi="Arial" w:cs="Arial"/>
          <w:i/>
          <w:color w:val="0070C0"/>
          <w:sz w:val="18"/>
          <w:szCs w:val="18"/>
        </w:rPr>
        <w:t>This tool is unique in the way that no other tools look at developing policy measures to achieve SDG 7. The key feature that makes it outstanding is the backcasting approach for energy and emissions modelling. This is important when it comes to planning for SDG 7, as the targets for the final year (2030) are already given; thus, the tool needs to be able to work its way backward to the current date and identify the best possible pathway.</w:t>
      </w:r>
    </w:p>
    <w:p w14:paraId="7CC22108" w14:textId="77777777" w:rsidR="00A031A6" w:rsidRDefault="00916FD0">
      <w:pPr>
        <w:pStyle w:val="Heading2"/>
        <w:numPr>
          <w:ilvl w:val="1"/>
          <w:numId w:val="21"/>
        </w:numPr>
      </w:pPr>
      <w:bookmarkStart w:id="24" w:name="_Toc62221385"/>
      <w:r>
        <w:t>Scenario definitions</w:t>
      </w:r>
      <w:bookmarkEnd w:id="24"/>
    </w:p>
    <w:p w14:paraId="3E7A2791"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 xml:space="preserve">The LEAP modelling system is designed for scenario analysis, to enable energy specialists to model energy system evolution based on current energy policies. In the NEXSTEP model for Indonesia, three main scenarios have been modelled: (a) a BAU scenario; (b) current policy scenario (CPS); and (c) Sustainable Development Goal (SDG) scenario. </w:t>
      </w:r>
    </w:p>
    <w:p w14:paraId="6F4CC2A9" w14:textId="77777777" w:rsidR="00A031A6" w:rsidRDefault="00916FD0">
      <w:pPr>
        <w:pStyle w:val="Heading3"/>
        <w:numPr>
          <w:ilvl w:val="0"/>
          <w:numId w:val="12"/>
        </w:numPr>
        <w:spacing w:after="0"/>
        <w:ind w:left="567" w:hanging="76"/>
      </w:pPr>
      <w:bookmarkStart w:id="25" w:name="_Toc62221386"/>
      <w:r>
        <w:t>The BAU scenario:</w:t>
      </w:r>
      <w:bookmarkEnd w:id="25"/>
      <w:r>
        <w:t xml:space="preserve"> </w:t>
      </w:r>
    </w:p>
    <w:p w14:paraId="6ED4B731" w14:textId="77777777" w:rsidR="00A031A6" w:rsidRDefault="00916FD0">
      <w:pPr>
        <w:pBdr>
          <w:top w:val="nil"/>
          <w:left w:val="nil"/>
          <w:bottom w:val="nil"/>
          <w:right w:val="nil"/>
          <w:between w:val="nil"/>
        </w:pBdr>
        <w:spacing w:after="0" w:line="360" w:lineRule="auto"/>
        <w:ind w:left="360"/>
        <w:jc w:val="both"/>
        <w:rPr>
          <w:rFonts w:ascii="Arial" w:eastAsia="Arial" w:hAnsi="Arial" w:cs="Arial"/>
          <w:color w:val="000000"/>
          <w:sz w:val="20"/>
          <w:szCs w:val="20"/>
        </w:rPr>
      </w:pPr>
      <w:r>
        <w:rPr>
          <w:rFonts w:ascii="Arial" w:eastAsia="Arial" w:hAnsi="Arial" w:cs="Arial"/>
          <w:color w:val="000000"/>
          <w:sz w:val="20"/>
          <w:szCs w:val="20"/>
        </w:rPr>
        <w:t>This scenario follows historical demand trends, based on simple projections, by using GDP and population growth. It does not consider emission limits or renewable energy targets. For each sector, the final energy demand is met by a fuel mix reflecting the current shares in TFEC, with the trend extrapolated to 2030. Essentially, this scenario aims to indicate what will happen if no enabling policies are implemented or the existing policies fail to achieve their intended outcomes;</w:t>
      </w:r>
    </w:p>
    <w:p w14:paraId="7184BEEB" w14:textId="77777777" w:rsidR="00A031A6" w:rsidRDefault="00916FD0">
      <w:pPr>
        <w:pStyle w:val="Heading3"/>
        <w:numPr>
          <w:ilvl w:val="0"/>
          <w:numId w:val="12"/>
        </w:numPr>
        <w:spacing w:after="0"/>
        <w:ind w:left="567" w:hanging="66"/>
      </w:pPr>
      <w:bookmarkStart w:id="26" w:name="_Toc62221387"/>
      <w:r>
        <w:t>Current policies scenario:</w:t>
      </w:r>
      <w:bookmarkEnd w:id="26"/>
      <w:r>
        <w:t xml:space="preserve"> </w:t>
      </w:r>
    </w:p>
    <w:p w14:paraId="0C9D41C6" w14:textId="77777777" w:rsidR="00A031A6" w:rsidRDefault="00916FD0">
      <w:pPr>
        <w:pBdr>
          <w:top w:val="nil"/>
          <w:left w:val="nil"/>
          <w:bottom w:val="nil"/>
          <w:right w:val="nil"/>
          <w:between w:val="nil"/>
        </w:pBdr>
        <w:spacing w:after="0" w:line="360" w:lineRule="auto"/>
        <w:ind w:left="360"/>
        <w:jc w:val="both"/>
        <w:rPr>
          <w:rFonts w:ascii="Arial" w:eastAsia="Arial" w:hAnsi="Arial" w:cs="Arial"/>
          <w:color w:val="000000"/>
          <w:sz w:val="20"/>
          <w:szCs w:val="20"/>
        </w:rPr>
      </w:pPr>
      <w:r>
        <w:rPr>
          <w:rFonts w:ascii="Arial" w:eastAsia="Arial" w:hAnsi="Arial" w:cs="Arial"/>
          <w:color w:val="000000"/>
          <w:sz w:val="20"/>
          <w:szCs w:val="20"/>
        </w:rPr>
        <w:t>Inherited and modified from the BAU scenario, this scenario considers all policies and plans currently in place. In addition, a target of an 11 per cent decrease of GHG emissions by the energy sector by 2030, compared to the BAU scenario, is set according to the unconditional NDCs of Indonesia. Other policy orientations of the National Energy General Plan (RUEN) are considered, such as the intention of decreasing the dependence on oil and optimizing the use of natural gas;</w:t>
      </w:r>
    </w:p>
    <w:p w14:paraId="07F0FAE9" w14:textId="77777777" w:rsidR="00A031A6" w:rsidRDefault="00916FD0">
      <w:pPr>
        <w:pStyle w:val="Heading3"/>
        <w:numPr>
          <w:ilvl w:val="0"/>
          <w:numId w:val="12"/>
        </w:numPr>
        <w:ind w:left="567" w:hanging="66"/>
      </w:pPr>
      <w:r>
        <w:t xml:space="preserve"> </w:t>
      </w:r>
      <w:bookmarkStart w:id="27" w:name="_Toc62221388"/>
      <w:r>
        <w:t>SDG 7 scenario:</w:t>
      </w:r>
      <w:bookmarkEnd w:id="27"/>
      <w:r>
        <w:t xml:space="preserve"> </w:t>
      </w:r>
    </w:p>
    <w:p w14:paraId="42D6760A" w14:textId="77777777" w:rsidR="00A031A6" w:rsidRDefault="00916FD0">
      <w:pPr>
        <w:pBdr>
          <w:top w:val="nil"/>
          <w:left w:val="nil"/>
          <w:bottom w:val="nil"/>
          <w:right w:val="nil"/>
          <w:between w:val="nil"/>
        </w:pBdr>
        <w:spacing w:line="360" w:lineRule="auto"/>
        <w:ind w:left="360"/>
        <w:jc w:val="both"/>
        <w:rPr>
          <w:color w:val="000000"/>
        </w:rPr>
      </w:pPr>
      <w:r>
        <w:rPr>
          <w:rFonts w:ascii="Arial" w:eastAsia="Arial" w:hAnsi="Arial" w:cs="Arial"/>
          <w:color w:val="000000"/>
          <w:sz w:val="20"/>
          <w:szCs w:val="20"/>
        </w:rPr>
        <w:t>This scenario and its sub-scenarios aim to achieve the SDG 7 targets, including universal access to electricity and to clean cooking fuel, substantially increasing renewable energy share and doubling the rate of energy efficiency improvement. A least-cost option has been used to provide electricity access to the remaining population. For clean cooking, different technologies (electric cooking stove, LPG cooking stove and improved cooking stove) have been assessed. Energy intensity has been modelled to help achieve the SDG 7 target. Finally, an emission reduction target has been used to estimate the optimum share of renewable energy in TFEC which is considered to be a substantial increase.</w:t>
      </w:r>
    </w:p>
    <w:p w14:paraId="387B3CB8" w14:textId="77777777" w:rsidR="00A031A6" w:rsidRDefault="00916FD0">
      <w:pPr>
        <w:pStyle w:val="Heading2"/>
        <w:numPr>
          <w:ilvl w:val="1"/>
          <w:numId w:val="21"/>
        </w:numPr>
      </w:pPr>
      <w:bookmarkStart w:id="28" w:name="_Toc62221389"/>
      <w:r>
        <w:lastRenderedPageBreak/>
        <w:t>Economic analysis</w:t>
      </w:r>
      <w:bookmarkEnd w:id="28"/>
    </w:p>
    <w:p w14:paraId="6AD5259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economic analysis considers the project’s contribution to the economic performance of the energy sector. The purpose of a cost-benefit analysis (CBA) is to make better informed policy decisions. It is a tool to weigh the benefits against costs and facilitate an efficient distribution of resources in public sector investment.</w:t>
      </w:r>
    </w:p>
    <w:p w14:paraId="0E0F643A" w14:textId="77777777" w:rsidR="00A031A6" w:rsidRDefault="00916FD0">
      <w:pPr>
        <w:pStyle w:val="Heading2"/>
        <w:numPr>
          <w:ilvl w:val="1"/>
          <w:numId w:val="21"/>
        </w:numPr>
      </w:pPr>
      <w:bookmarkStart w:id="29" w:name="_Toc62221390"/>
      <w:r>
        <w:t>Basics of economic analysis</w:t>
      </w:r>
      <w:bookmarkEnd w:id="29"/>
    </w:p>
    <w:p w14:paraId="7F84C73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economic analysis of public sector investment differs from a financial analysis. A financial analysis considers the profitability of an investment project from the investor’s perspective. In an economic analysis the profitability of the investment considers the national welfare, including externalities. A project is financially viable only if all the monetary costs can be recovered in the project lifetime. Project financial viability is not enough in an economic analysis, and contribution to societal welfare should also be identified and quantified. For example, in the case of a coal power plant, the emissions from the combustion process emits particulate matter that is inhaled by the local population, causing health damage and acceleration of climate change. In an economic analysis a monetary value is assigned to the GHG emission to value its GHG emissions abatement. </w:t>
      </w:r>
    </w:p>
    <w:p w14:paraId="23DC0B2F" w14:textId="77777777" w:rsidR="00A031A6" w:rsidRDefault="00916FD0">
      <w:pPr>
        <w:pStyle w:val="Heading2"/>
        <w:numPr>
          <w:ilvl w:val="1"/>
          <w:numId w:val="21"/>
        </w:numPr>
      </w:pPr>
      <w:bookmarkStart w:id="30" w:name="_Toc62221391"/>
      <w:r>
        <w:t>Cost parameters</w:t>
      </w:r>
      <w:bookmarkEnd w:id="30"/>
      <w:r>
        <w:t xml:space="preserve"> </w:t>
      </w:r>
    </w:p>
    <w:p w14:paraId="4BA5E18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project cost is the fundamental input in an economic analysis. The overall project cost is calculated using the following:</w:t>
      </w:r>
    </w:p>
    <w:p w14:paraId="35C95DD2" w14:textId="77777777" w:rsidR="00A031A6" w:rsidRDefault="00916FD0">
      <w:pPr>
        <w:numPr>
          <w:ilvl w:val="0"/>
          <w:numId w:val="29"/>
        </w:numPr>
        <w:pBdr>
          <w:top w:val="nil"/>
          <w:left w:val="nil"/>
          <w:bottom w:val="nil"/>
          <w:right w:val="nil"/>
          <w:between w:val="nil"/>
        </w:pBdr>
        <w:spacing w:line="360" w:lineRule="auto"/>
        <w:jc w:val="both"/>
        <w:rPr>
          <w:color w:val="000000"/>
          <w:sz w:val="20"/>
          <w:szCs w:val="20"/>
        </w:rPr>
      </w:pPr>
      <w:r>
        <w:rPr>
          <w:rFonts w:ascii="Arial" w:eastAsia="Arial" w:hAnsi="Arial" w:cs="Arial"/>
          <w:color w:val="000000"/>
          <w:sz w:val="20"/>
          <w:szCs w:val="20"/>
        </w:rPr>
        <w:t xml:space="preserve">Capital cost – capital infrastructure costs for technologies, which are based on country-specific data to improve the analysis. They include land, building, machinery, equipment and civil works; </w:t>
      </w:r>
    </w:p>
    <w:p w14:paraId="0921051A" w14:textId="77777777" w:rsidR="00A031A6" w:rsidRDefault="00916FD0">
      <w:pPr>
        <w:numPr>
          <w:ilvl w:val="0"/>
          <w:numId w:val="29"/>
        </w:numPr>
        <w:spacing w:line="360" w:lineRule="auto"/>
        <w:jc w:val="both"/>
        <w:rPr>
          <w:sz w:val="20"/>
          <w:szCs w:val="20"/>
        </w:rPr>
      </w:pPr>
      <w:r>
        <w:rPr>
          <w:rFonts w:ascii="Arial" w:eastAsia="Arial" w:hAnsi="Arial" w:cs="Arial"/>
          <w:sz w:val="20"/>
          <w:szCs w:val="20"/>
        </w:rPr>
        <w:t>Operation and maintenance cost – comprising fuel, labour and maintenance costs. Power generation facilities classify operation and maintenance costs as fixed (US$/MW) and variable (US$/MWh) cost;</w:t>
      </w:r>
    </w:p>
    <w:p w14:paraId="52CD78AE" w14:textId="77777777" w:rsidR="00A031A6" w:rsidRDefault="00916FD0">
      <w:pPr>
        <w:numPr>
          <w:ilvl w:val="0"/>
          <w:numId w:val="29"/>
        </w:numPr>
        <w:spacing w:line="360" w:lineRule="auto"/>
        <w:jc w:val="both"/>
        <w:rPr>
          <w:sz w:val="20"/>
          <w:szCs w:val="20"/>
        </w:rPr>
      </w:pPr>
      <w:r>
        <w:rPr>
          <w:rFonts w:ascii="Arial" w:eastAsia="Arial" w:hAnsi="Arial" w:cs="Arial"/>
          <w:sz w:val="20"/>
          <w:szCs w:val="20"/>
        </w:rPr>
        <w:t>Decommissioning cost – retirement of power plants costs related to environmental remediation, regulatory frameworks and demolition costs;</w:t>
      </w:r>
    </w:p>
    <w:p w14:paraId="2F9B9AEE" w14:textId="77777777" w:rsidR="00A031A6" w:rsidRDefault="00916FD0">
      <w:pPr>
        <w:numPr>
          <w:ilvl w:val="0"/>
          <w:numId w:val="29"/>
        </w:numPr>
        <w:spacing w:line="360" w:lineRule="auto"/>
        <w:jc w:val="both"/>
        <w:rPr>
          <w:sz w:val="20"/>
          <w:szCs w:val="20"/>
        </w:rPr>
      </w:pPr>
      <w:r>
        <w:rPr>
          <w:rFonts w:ascii="Arial" w:eastAsia="Arial" w:hAnsi="Arial" w:cs="Arial"/>
          <w:sz w:val="20"/>
          <w:szCs w:val="20"/>
        </w:rPr>
        <w:t>Sunk cost – existing infrastructure investments are not included in the economic analysis, since no additional investment is required for the project;</w:t>
      </w:r>
    </w:p>
    <w:p w14:paraId="7F936FA1" w14:textId="77777777" w:rsidR="00A031A6" w:rsidRDefault="00916FD0">
      <w:pPr>
        <w:numPr>
          <w:ilvl w:val="0"/>
          <w:numId w:val="29"/>
        </w:numPr>
        <w:spacing w:line="360" w:lineRule="auto"/>
        <w:jc w:val="both"/>
        <w:rPr>
          <w:sz w:val="20"/>
          <w:szCs w:val="20"/>
        </w:rPr>
      </w:pPr>
      <w:r>
        <w:rPr>
          <w:rFonts w:ascii="Arial" w:eastAsia="Arial" w:hAnsi="Arial" w:cs="Arial"/>
          <w:sz w:val="20"/>
          <w:szCs w:val="20"/>
        </w:rPr>
        <w:t>External cost – refers to any additional externalities which place costs on society;</w:t>
      </w:r>
    </w:p>
    <w:p w14:paraId="562E6527" w14:textId="77777777" w:rsidR="00A031A6" w:rsidRDefault="00916FD0">
      <w:pPr>
        <w:numPr>
          <w:ilvl w:val="0"/>
          <w:numId w:val="29"/>
        </w:numPr>
        <w:spacing w:line="360" w:lineRule="auto"/>
        <w:jc w:val="both"/>
        <w:rPr>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GHG abatement – avoided cost of CO</w:t>
      </w:r>
      <w:r>
        <w:rPr>
          <w:rFonts w:ascii="Arial" w:eastAsia="Arial" w:hAnsi="Arial" w:cs="Arial"/>
          <w:sz w:val="20"/>
          <w:szCs w:val="20"/>
          <w:vertAlign w:val="subscript"/>
        </w:rPr>
        <w:t>2</w:t>
      </w:r>
      <w:r>
        <w:rPr>
          <w:rFonts w:ascii="Arial" w:eastAsia="Arial" w:hAnsi="Arial" w:cs="Arial"/>
          <w:sz w:val="20"/>
          <w:szCs w:val="20"/>
        </w:rPr>
        <w:t xml:space="preserve"> generation is calculated in monetary value based on carbon price. The 2016 Intergovernmental Panel on Climate Change (IPCC) Guidelines for National Greenhouse Gas Inventories is followed in the calculation of GHG emissions for the economic analysis. The sectoral analysis is based on the Tier 1 approach, which uses fuel combustion from national statistics and default emission factors. </w:t>
      </w:r>
    </w:p>
    <w:p w14:paraId="4CEB7823" w14:textId="77777777" w:rsidR="00A031A6" w:rsidRDefault="00A031A6">
      <w:pPr>
        <w:spacing w:line="360" w:lineRule="auto"/>
        <w:jc w:val="both"/>
        <w:rPr>
          <w:rFonts w:ascii="Arial" w:eastAsia="Arial" w:hAnsi="Arial" w:cs="Arial"/>
          <w:sz w:val="20"/>
          <w:szCs w:val="20"/>
        </w:rPr>
        <w:sectPr w:rsidR="00A031A6">
          <w:type w:val="continuous"/>
          <w:pgSz w:w="11906" w:h="16838"/>
          <w:pgMar w:top="1440" w:right="1440" w:bottom="1440" w:left="1440" w:header="708" w:footer="708" w:gutter="0"/>
          <w:cols w:space="720"/>
        </w:sectPr>
      </w:pPr>
    </w:p>
    <w:p w14:paraId="006CB0EF" w14:textId="77777777" w:rsidR="00A031A6" w:rsidRDefault="00A031A6">
      <w:pPr>
        <w:sectPr w:rsidR="00A031A6">
          <w:type w:val="continuous"/>
          <w:pgSz w:w="11906" w:h="16838"/>
          <w:pgMar w:top="1440" w:right="1440" w:bottom="1440" w:left="1440" w:header="708" w:footer="708" w:gutter="0"/>
          <w:cols w:space="720"/>
        </w:sectPr>
      </w:pPr>
    </w:p>
    <w:p w14:paraId="64CC689C" w14:textId="77777777" w:rsidR="00A031A6" w:rsidRDefault="00916FD0">
      <w:pPr>
        <w:pStyle w:val="Heading1"/>
        <w:numPr>
          <w:ilvl w:val="0"/>
          <w:numId w:val="21"/>
        </w:numPr>
      </w:pPr>
      <w:bookmarkStart w:id="31" w:name="_Toc62221392"/>
      <w:r>
        <w:lastRenderedPageBreak/>
        <w:t>Overview of the Indonesia’s energy sector</w:t>
      </w:r>
      <w:bookmarkEnd w:id="31"/>
    </w:p>
    <w:p w14:paraId="10D613D3" w14:textId="77777777" w:rsidR="00A031A6" w:rsidRDefault="00916FD0">
      <w:pPr>
        <w:pStyle w:val="Heading2"/>
        <w:numPr>
          <w:ilvl w:val="1"/>
          <w:numId w:val="21"/>
        </w:numPr>
      </w:pPr>
      <w:bookmarkStart w:id="32" w:name="_Toc62221393"/>
      <w:r>
        <w:t>Current situation</w:t>
      </w:r>
      <w:bookmarkEnd w:id="32"/>
    </w:p>
    <w:p w14:paraId="7FC33AD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Indonesia is an archipelagic State with more than 18,000 islands and a population of more than 265 million in 2018. The country is ranked as the </w:t>
      </w:r>
      <w:r>
        <w:rPr>
          <w:rFonts w:ascii="Arial" w:eastAsia="Arial" w:hAnsi="Arial" w:cs="Arial"/>
          <w:color w:val="222222"/>
          <w:sz w:val="20"/>
          <w:szCs w:val="20"/>
          <w:highlight w:val="white"/>
        </w:rPr>
        <w:t>world's fourth most populous nation</w:t>
      </w:r>
      <w:r>
        <w:rPr>
          <w:rFonts w:ascii="Arial" w:eastAsia="Arial" w:hAnsi="Arial" w:cs="Arial"/>
          <w:sz w:val="20"/>
          <w:szCs w:val="20"/>
        </w:rPr>
        <w:t xml:space="preserve"> and has seen rapid economic growth and development. A growing population, rising household incomes and increasing urbanization will lead to rising energy demand and put constraints on energy supply.</w:t>
      </w:r>
    </w:p>
    <w:p w14:paraId="7FB595A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vision and mission for the country is set under the Long-Term Development Plan (RPJPN) 2005-2025, which aims to establish a country that is developed and self-reliant, just and democratic, and peaceful and united. The RPJPN is divided into ‘five-year Medium-Term Development Plans (RPJMN). The national energy policy approach is defined under the 2007 Energy Law, which is aligned with the RPJPN; this is used to support energy independence for achieving long-term growth. </w:t>
      </w:r>
    </w:p>
    <w:p w14:paraId="743C485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Government recently passed Presidential Regulation 22/2017 for implementing the provision of the Energy Law to create the National Energy General Plan (RUEN). The RUEN is supposed to implement the 2014 National Energy Policy (KEN), which aims to achieve energy self-reliance and national energy security. In terms of energy efficiency, the 2007 Energy Law provides for energy efficiency principles, further specified under the Government Regulation No. 70/2009 on Energy Conservation (Asia-Pacific Energy Portal, 2020). </w:t>
      </w:r>
    </w:p>
    <w:p w14:paraId="47B035D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country has set a target to limit its GHG emissions through the Nationally Determined Contributions in 2015 which suggests an unconditional target of 29 per cent (41 per cent if external support is received) by 2030 compared to BAU.</w:t>
      </w:r>
    </w:p>
    <w:p w14:paraId="4E0EDCF6" w14:textId="77777777" w:rsidR="00A031A6" w:rsidRDefault="00916FD0">
      <w:pPr>
        <w:pStyle w:val="Heading2"/>
        <w:numPr>
          <w:ilvl w:val="1"/>
          <w:numId w:val="21"/>
        </w:numPr>
      </w:pPr>
      <w:bookmarkStart w:id="33" w:name="_Toc62221394"/>
      <w:r>
        <w:t>National energy profile</w:t>
      </w:r>
      <w:bookmarkEnd w:id="33"/>
    </w:p>
    <w:p w14:paraId="2B3FB15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made significant progress towards achieving universal access to electricity. The ratio of electrification in Indonesia was 98.3 per cent in 2018. Indonesia is on track to achieve universal access to electricity by 2020.</w:t>
      </w:r>
    </w:p>
    <w:p w14:paraId="4584417C" w14:textId="77777777" w:rsidR="00A031A6" w:rsidRDefault="00916FD0">
      <w:pPr>
        <w:spacing w:line="360" w:lineRule="auto"/>
        <w:jc w:val="both"/>
        <w:rPr>
          <w:rFonts w:ascii="Arial" w:eastAsia="Arial" w:hAnsi="Arial" w:cs="Arial"/>
          <w:b/>
          <w:sz w:val="20"/>
          <w:szCs w:val="20"/>
        </w:rPr>
      </w:pPr>
      <w:r>
        <w:rPr>
          <w:rFonts w:ascii="Arial" w:eastAsia="Arial" w:hAnsi="Arial" w:cs="Arial"/>
          <w:sz w:val="20"/>
          <w:szCs w:val="20"/>
        </w:rPr>
        <w:t>Access to clean cooking solutions is measured at 80 per cent, based on National Statistics for Indonesia (Neliti, 2020). Indonesia has made remarkable progress towards clean cooking – more than a 10-fold increase from 7 per cent in 2000. This has been possible due to government-funded programmes during 2007-2015, i.e., Zero-Kero and Improved Cook Stove programme that have seen about 50 million households getting access to clean cooking technology. The current policies to reach 4.7 million city gas connections and 1.1 million biogas digesters by 2025 are modelled in the current policy scenario.</w:t>
      </w:r>
    </w:p>
    <w:p w14:paraId="7DD0FFD2"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renewable energy share in TFEC is calculated at 11.25 per cent in 2018, which is equivalent to 12 per cent of TPES. Figure</w:t>
      </w:r>
      <w:r>
        <w:rPr>
          <w:rFonts w:ascii="Arial" w:eastAsia="Arial" w:hAnsi="Arial" w:cs="Arial"/>
          <w:b/>
          <w:sz w:val="20"/>
          <w:szCs w:val="20"/>
        </w:rPr>
        <w:t xml:space="preserve"> </w:t>
      </w:r>
      <w:r>
        <w:rPr>
          <w:rFonts w:ascii="Arial" w:eastAsia="Arial" w:hAnsi="Arial" w:cs="Arial"/>
          <w:sz w:val="20"/>
          <w:szCs w:val="20"/>
        </w:rPr>
        <w:t xml:space="preserve">2 shows Indonesia’s planned capacity expansion for electricity generation. This is based on the planned capacity expansion from RUPTL 2019-2028 (Ministry of Energy and </w:t>
      </w:r>
      <w:r>
        <w:rPr>
          <w:rFonts w:ascii="Arial" w:eastAsia="Arial" w:hAnsi="Arial" w:cs="Arial"/>
          <w:sz w:val="20"/>
          <w:szCs w:val="20"/>
        </w:rPr>
        <w:lastRenderedPageBreak/>
        <w:t>Mineral Resources, 2020). Coal in power generation has been planned to increase by 27GW by 2028 reaching a share of 42 per cent of total installed capacity in 2028.</w:t>
      </w:r>
    </w:p>
    <w:p w14:paraId="55F309F5" w14:textId="3C1E1F8F" w:rsidR="00A031A6" w:rsidRDefault="00916FD0">
      <w:pPr>
        <w:spacing w:after="120" w:line="240" w:lineRule="auto"/>
        <w:jc w:val="center"/>
        <w:rPr>
          <w:rFonts w:ascii="Arial" w:eastAsia="Arial" w:hAnsi="Arial" w:cs="Arial"/>
          <w:b/>
          <w:sz w:val="20"/>
          <w:szCs w:val="20"/>
        </w:rPr>
      </w:pPr>
      <w:bookmarkStart w:id="34" w:name="_ihv636" w:colFirst="0" w:colLast="0"/>
      <w:bookmarkEnd w:id="34"/>
      <w:r>
        <w:rPr>
          <w:rFonts w:ascii="Arial" w:eastAsia="Arial" w:hAnsi="Arial" w:cs="Arial"/>
          <w:b/>
          <w:sz w:val="20"/>
          <w:szCs w:val="20"/>
        </w:rPr>
        <w:t>Figure 2. Indonesia’s RUPTL 2019-2028 planned capacity expansion</w:t>
      </w:r>
    </w:p>
    <w:p w14:paraId="67D1E0C8" w14:textId="5344CF41" w:rsidR="00A031A6" w:rsidRPr="009720B0" w:rsidRDefault="009720B0" w:rsidP="009720B0">
      <w:pPr>
        <w:spacing w:after="120" w:line="240" w:lineRule="auto"/>
        <w:jc w:val="center"/>
        <w:rPr>
          <w:rFonts w:ascii="Arial" w:eastAsia="Arial" w:hAnsi="Arial" w:cs="Arial"/>
          <w:b/>
          <w:sz w:val="20"/>
          <w:szCs w:val="20"/>
        </w:rPr>
      </w:pPr>
      <w:r w:rsidRPr="009720B0">
        <w:rPr>
          <w:rFonts w:ascii="Arial" w:eastAsia="Arial" w:hAnsi="Arial" w:cs="Arial"/>
          <w:b/>
          <w:noProof/>
          <w:sz w:val="20"/>
          <w:szCs w:val="20"/>
        </w:rPr>
        <w:drawing>
          <wp:inline distT="0" distB="0" distL="0" distR="0" wp14:anchorId="449A06E6" wp14:editId="16123340">
            <wp:extent cx="5731510" cy="274955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49550"/>
                    </a:xfrm>
                    <a:prstGeom prst="rect">
                      <a:avLst/>
                    </a:prstGeom>
                  </pic:spPr>
                </pic:pic>
              </a:graphicData>
            </a:graphic>
          </wp:inline>
        </w:drawing>
      </w:r>
    </w:p>
    <w:p w14:paraId="79A93E41"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intensity in Indonesia has been declining at an average annual rate of 2.81 per cent since 2010 and reached 2.87 MJ/US$ in 2018. Under the current policy, Indonesia aims to reduce its energy intensity (in terms of final energy) by 1 per cent annually up to 2025. The objective is to achieve energy elasticity</w:t>
      </w:r>
      <w:r>
        <w:rPr>
          <w:rFonts w:ascii="Arial" w:eastAsia="Arial" w:hAnsi="Arial" w:cs="Arial"/>
          <w:sz w:val="20"/>
          <w:szCs w:val="20"/>
          <w:vertAlign w:val="superscript"/>
        </w:rPr>
        <w:footnoteReference w:id="3"/>
      </w:r>
      <w:r>
        <w:rPr>
          <w:rFonts w:ascii="Arial" w:eastAsia="Arial" w:hAnsi="Arial" w:cs="Arial"/>
          <w:sz w:val="20"/>
          <w:szCs w:val="20"/>
        </w:rPr>
        <w:t xml:space="preserve"> of less than 1 in 2025. </w:t>
      </w:r>
    </w:p>
    <w:p w14:paraId="6CC64F81" w14:textId="77777777" w:rsidR="00A031A6" w:rsidRDefault="00916FD0">
      <w:pPr>
        <w:pStyle w:val="Heading2"/>
        <w:numPr>
          <w:ilvl w:val="1"/>
          <w:numId w:val="21"/>
        </w:numPr>
      </w:pPr>
      <w:bookmarkStart w:id="35" w:name="_Toc62221395"/>
      <w:r>
        <w:t>National energy policies and targets</w:t>
      </w:r>
      <w:bookmarkEnd w:id="35"/>
    </w:p>
    <w:p w14:paraId="0EE4E680" w14:textId="77777777" w:rsidR="00A031A6" w:rsidRDefault="00916FD0">
      <w:pPr>
        <w:spacing w:line="360" w:lineRule="auto"/>
        <w:jc w:val="both"/>
        <w:rPr>
          <w:rFonts w:ascii="Arial" w:eastAsia="Arial" w:hAnsi="Arial" w:cs="Arial"/>
          <w:b/>
          <w:sz w:val="20"/>
          <w:szCs w:val="20"/>
        </w:rPr>
      </w:pPr>
      <w:bookmarkStart w:id="36" w:name="_1hmsyys" w:colFirst="0" w:colLast="0"/>
      <w:bookmarkEnd w:id="36"/>
      <w:r>
        <w:rPr>
          <w:rFonts w:ascii="Arial" w:eastAsia="Arial" w:hAnsi="Arial" w:cs="Arial"/>
          <w:sz w:val="20"/>
          <w:szCs w:val="20"/>
        </w:rPr>
        <w:t>Scenario development has been based on energy policies and assumptions (as summarized in table 1) as well as considering relevant policies (listed below) that are already in place. National Energy Policy (KEN): KEN mandates a renewable energy target of 23 per cent in the primary energy mix by 2025. Indonesia has set a target to improve energy efficiency by 1 per cent in TFEC in order to promote energy saving across all sectors (Ministry of Energy and Mineral Resources, 2018);</w:t>
      </w:r>
    </w:p>
    <w:p w14:paraId="7E6B7FDB"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National Energy General Plan (RUEN): To connect 4.7 million city gas connections and 1.1 million biogas digesters (Ministry of Energy and Mineral Resources, 2018);</w:t>
      </w:r>
    </w:p>
    <w:p w14:paraId="7D150012"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RUPTL 2019-2028: In the power sector the capacity addition is based on RUPTL 2019-2028 and the remaining two years (2029 and 2030) are forecasted using linear regression (Ministry of Energy and Mineral Resources, 2020);</w:t>
      </w:r>
    </w:p>
    <w:p w14:paraId="29B0BB23"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Biofuel Roadmap: Biofuel mandate of 30 per cent biodiesel and 20 per cent bioethanol utilization by 2025 based on Minister of Energy and Mineral Resources Regulation No.12 of 2015 in the transport sector (Ministry of Energy and Mineral Resources, 2018);</w:t>
      </w:r>
    </w:p>
    <w:p w14:paraId="7C07E648"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 xml:space="preserve">National Master Plan for Energy Conservation (RIKEN): RIKEN sets a goal of decreasing energy intensity by 1 per cent annually until 2025. In order to reach this goal, energy savings </w:t>
      </w:r>
      <w:r>
        <w:rPr>
          <w:rFonts w:ascii="Arial" w:eastAsia="Arial" w:hAnsi="Arial" w:cs="Arial"/>
          <w:color w:val="000000"/>
          <w:sz w:val="20"/>
          <w:szCs w:val="20"/>
        </w:rPr>
        <w:lastRenderedPageBreak/>
        <w:t>potentials have been identified as follows: industry 15-30 per cent, commercial buildings 25 per cent, transportation 20-35 per cent and households 10-30 per cent;</w:t>
      </w:r>
    </w:p>
    <w:p w14:paraId="561A5DAD"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Energy Law No. 30/2007 (EL7) The law recognizes energy security as a critical national issue and requires that more attention to be given to new and renewable energy development and that incentives should be developed for energy providers to do this;</w:t>
      </w:r>
    </w:p>
    <w:p w14:paraId="4C88AA10"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National Action Plan for Reducing Greenhouse Gas Emissions (RAN-GRK): RAN-GRK is a follow-up to Indonesia’s commitment to reduce GHG emissions by 29 per cent in 2020 from the BAU level by its own efforts and then reaching 41 per cent reduction with international support, based on Presidential Decree No. 61 of 2011;</w:t>
      </w:r>
    </w:p>
    <w:p w14:paraId="31F0F716" w14:textId="77777777" w:rsidR="00A031A6" w:rsidRDefault="00916FD0">
      <w:pPr>
        <w:numPr>
          <w:ilvl w:val="0"/>
          <w:numId w:val="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Green Energy Policy (Ministerial Decree No. 2/2004): The Green Energy Policy identifies Indonesia’s strategy to maximize the utilization of its renewable energy potential and to build public awareness of energy efficiency measures;</w:t>
      </w:r>
    </w:p>
    <w:p w14:paraId="0443E794" w14:textId="77777777" w:rsidR="00A031A6" w:rsidRDefault="00916FD0">
      <w:pPr>
        <w:numPr>
          <w:ilvl w:val="0"/>
          <w:numId w:val="3"/>
        </w:numPr>
        <w:pBdr>
          <w:top w:val="nil"/>
          <w:left w:val="nil"/>
          <w:bottom w:val="nil"/>
          <w:right w:val="nil"/>
          <w:between w:val="nil"/>
        </w:pBdr>
        <w:spacing w:line="360" w:lineRule="auto"/>
        <w:jc w:val="both"/>
        <w:rPr>
          <w:color w:val="000000"/>
          <w:sz w:val="20"/>
          <w:szCs w:val="20"/>
        </w:rPr>
      </w:pPr>
      <w:r>
        <w:rPr>
          <w:rFonts w:ascii="Arial" w:eastAsia="Arial" w:hAnsi="Arial" w:cs="Arial"/>
          <w:color w:val="000000"/>
          <w:sz w:val="20"/>
          <w:szCs w:val="20"/>
        </w:rPr>
        <w:t>Nationally Determined Contribution (NDC): The first NDC of 2016 shows the national commitment to reduce GHG Emissions at 29 per cent unconditional and 41 per cent conditional up to 2030.</w:t>
      </w:r>
    </w:p>
    <w:p w14:paraId="3C17D169" w14:textId="77777777" w:rsidR="00A031A6" w:rsidRDefault="00916FD0">
      <w:pPr>
        <w:spacing w:after="120" w:line="240" w:lineRule="auto"/>
        <w:jc w:val="center"/>
        <w:rPr>
          <w:rFonts w:ascii="Arial" w:eastAsia="Arial" w:hAnsi="Arial" w:cs="Arial"/>
          <w:b/>
          <w:sz w:val="20"/>
          <w:szCs w:val="20"/>
        </w:rPr>
      </w:pPr>
      <w:bookmarkStart w:id="37" w:name="_41mghml" w:colFirst="0" w:colLast="0"/>
      <w:bookmarkEnd w:id="37"/>
      <w:r>
        <w:rPr>
          <w:rFonts w:ascii="Arial" w:eastAsia="Arial" w:hAnsi="Arial" w:cs="Arial"/>
          <w:b/>
          <w:sz w:val="20"/>
          <w:szCs w:val="20"/>
        </w:rPr>
        <w:t>Table 1. Important factors, targets and assumptions used in modelling</w:t>
      </w:r>
    </w:p>
    <w:tbl>
      <w:tblPr>
        <w:tblStyle w:val="a0"/>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2303"/>
        <w:gridCol w:w="2304"/>
      </w:tblGrid>
      <w:tr w:rsidR="00A031A6" w14:paraId="69A26EBA" w14:textId="77777777">
        <w:trPr>
          <w:trHeight w:val="510"/>
        </w:trPr>
        <w:tc>
          <w:tcPr>
            <w:tcW w:w="2302" w:type="dxa"/>
            <w:shd w:val="clear" w:color="auto" w:fill="00B0F0"/>
            <w:vAlign w:val="center"/>
          </w:tcPr>
          <w:p w14:paraId="78C98F45" w14:textId="77777777" w:rsidR="00A031A6" w:rsidRDefault="00916FD0">
            <w:pPr>
              <w:rPr>
                <w:rFonts w:ascii="Arial" w:eastAsia="Arial" w:hAnsi="Arial" w:cs="Arial"/>
                <w:b/>
                <w:color w:val="FFFFFF"/>
                <w:sz w:val="18"/>
                <w:szCs w:val="18"/>
              </w:rPr>
            </w:pPr>
            <w:r>
              <w:rPr>
                <w:rFonts w:ascii="Arial" w:eastAsia="Arial" w:hAnsi="Arial" w:cs="Arial"/>
                <w:b/>
                <w:color w:val="FFFFFF"/>
                <w:sz w:val="18"/>
                <w:szCs w:val="18"/>
              </w:rPr>
              <w:t>Parameters</w:t>
            </w:r>
          </w:p>
        </w:tc>
        <w:tc>
          <w:tcPr>
            <w:tcW w:w="2302" w:type="dxa"/>
            <w:shd w:val="clear" w:color="auto" w:fill="00B0F0"/>
            <w:vAlign w:val="center"/>
          </w:tcPr>
          <w:p w14:paraId="678A3A02" w14:textId="77777777"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Business as usual</w:t>
            </w:r>
          </w:p>
        </w:tc>
        <w:tc>
          <w:tcPr>
            <w:tcW w:w="2303" w:type="dxa"/>
            <w:shd w:val="clear" w:color="auto" w:fill="00B0F0"/>
            <w:vAlign w:val="center"/>
          </w:tcPr>
          <w:p w14:paraId="3CE046F4" w14:textId="77777777"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Current policy scenario</w:t>
            </w:r>
          </w:p>
        </w:tc>
        <w:tc>
          <w:tcPr>
            <w:tcW w:w="2304" w:type="dxa"/>
            <w:shd w:val="clear" w:color="auto" w:fill="00B0F0"/>
          </w:tcPr>
          <w:p w14:paraId="030ECB85" w14:textId="77777777"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Sustainable Development Goal</w:t>
            </w:r>
          </w:p>
        </w:tc>
      </w:tr>
      <w:tr w:rsidR="00A031A6" w14:paraId="762D7593" w14:textId="77777777">
        <w:trPr>
          <w:trHeight w:val="510"/>
        </w:trPr>
        <w:tc>
          <w:tcPr>
            <w:tcW w:w="2302" w:type="dxa"/>
            <w:vAlign w:val="center"/>
          </w:tcPr>
          <w:p w14:paraId="177EC55E" w14:textId="77777777" w:rsidR="00A031A6" w:rsidRDefault="00916FD0">
            <w:pPr>
              <w:rPr>
                <w:rFonts w:ascii="Arial" w:eastAsia="Arial" w:hAnsi="Arial" w:cs="Arial"/>
                <w:sz w:val="18"/>
                <w:szCs w:val="18"/>
              </w:rPr>
            </w:pPr>
            <w:r>
              <w:rPr>
                <w:rFonts w:ascii="Arial" w:eastAsia="Arial" w:hAnsi="Arial" w:cs="Arial"/>
                <w:sz w:val="18"/>
                <w:szCs w:val="18"/>
              </w:rPr>
              <w:t>Economic growth</w:t>
            </w:r>
          </w:p>
        </w:tc>
        <w:tc>
          <w:tcPr>
            <w:tcW w:w="6909" w:type="dxa"/>
            <w:gridSpan w:val="3"/>
            <w:vAlign w:val="center"/>
          </w:tcPr>
          <w:p w14:paraId="756671ED" w14:textId="77777777" w:rsidR="00A031A6" w:rsidRDefault="00916FD0">
            <w:pPr>
              <w:jc w:val="center"/>
              <w:rPr>
                <w:rFonts w:ascii="Arial" w:eastAsia="Arial" w:hAnsi="Arial" w:cs="Arial"/>
                <w:sz w:val="18"/>
                <w:szCs w:val="18"/>
              </w:rPr>
            </w:pPr>
            <w:r>
              <w:rPr>
                <w:rFonts w:ascii="Arial" w:eastAsia="Arial" w:hAnsi="Arial" w:cs="Arial"/>
                <w:sz w:val="18"/>
                <w:szCs w:val="18"/>
              </w:rPr>
              <w:t>5.7%</w:t>
            </w:r>
          </w:p>
        </w:tc>
      </w:tr>
      <w:tr w:rsidR="00A031A6" w14:paraId="470998D7" w14:textId="77777777">
        <w:trPr>
          <w:trHeight w:val="510"/>
        </w:trPr>
        <w:tc>
          <w:tcPr>
            <w:tcW w:w="2302" w:type="dxa"/>
            <w:vAlign w:val="center"/>
          </w:tcPr>
          <w:p w14:paraId="49047892" w14:textId="77777777" w:rsidR="00A031A6" w:rsidRDefault="00916FD0">
            <w:pPr>
              <w:rPr>
                <w:rFonts w:ascii="Arial" w:eastAsia="Arial" w:hAnsi="Arial" w:cs="Arial"/>
                <w:sz w:val="18"/>
                <w:szCs w:val="18"/>
              </w:rPr>
            </w:pPr>
            <w:r>
              <w:rPr>
                <w:rFonts w:ascii="Arial" w:eastAsia="Arial" w:hAnsi="Arial" w:cs="Arial"/>
                <w:sz w:val="18"/>
                <w:szCs w:val="18"/>
              </w:rPr>
              <w:t>Population growth</w:t>
            </w:r>
          </w:p>
        </w:tc>
        <w:tc>
          <w:tcPr>
            <w:tcW w:w="6909" w:type="dxa"/>
            <w:gridSpan w:val="3"/>
            <w:vAlign w:val="center"/>
          </w:tcPr>
          <w:p w14:paraId="4B924FBB" w14:textId="77777777" w:rsidR="00A031A6" w:rsidRDefault="00916FD0">
            <w:pPr>
              <w:jc w:val="center"/>
              <w:rPr>
                <w:rFonts w:ascii="Arial" w:eastAsia="Arial" w:hAnsi="Arial" w:cs="Arial"/>
                <w:sz w:val="18"/>
                <w:szCs w:val="18"/>
              </w:rPr>
            </w:pPr>
            <w:r>
              <w:rPr>
                <w:rFonts w:ascii="Arial" w:eastAsia="Arial" w:hAnsi="Arial" w:cs="Arial"/>
                <w:sz w:val="18"/>
                <w:szCs w:val="18"/>
              </w:rPr>
              <w:t>Statistics Indonesia</w:t>
            </w:r>
          </w:p>
        </w:tc>
      </w:tr>
      <w:tr w:rsidR="00A031A6" w14:paraId="005F29E5" w14:textId="77777777">
        <w:trPr>
          <w:trHeight w:val="510"/>
        </w:trPr>
        <w:tc>
          <w:tcPr>
            <w:tcW w:w="2302" w:type="dxa"/>
            <w:vAlign w:val="center"/>
          </w:tcPr>
          <w:p w14:paraId="56395D20" w14:textId="77777777" w:rsidR="00A031A6" w:rsidRDefault="00916FD0">
            <w:pPr>
              <w:rPr>
                <w:rFonts w:ascii="Arial" w:eastAsia="Arial" w:hAnsi="Arial" w:cs="Arial"/>
                <w:sz w:val="18"/>
                <w:szCs w:val="18"/>
              </w:rPr>
            </w:pPr>
            <w:r>
              <w:rPr>
                <w:rFonts w:ascii="Arial" w:eastAsia="Arial" w:hAnsi="Arial" w:cs="Arial"/>
                <w:sz w:val="18"/>
                <w:szCs w:val="18"/>
              </w:rPr>
              <w:t>Household size</w:t>
            </w:r>
          </w:p>
        </w:tc>
        <w:tc>
          <w:tcPr>
            <w:tcW w:w="6909" w:type="dxa"/>
            <w:gridSpan w:val="3"/>
            <w:vAlign w:val="center"/>
          </w:tcPr>
          <w:p w14:paraId="71B6797A" w14:textId="77777777" w:rsidR="00A031A6" w:rsidRDefault="00916FD0">
            <w:pPr>
              <w:jc w:val="center"/>
              <w:rPr>
                <w:rFonts w:ascii="Arial" w:eastAsia="Arial" w:hAnsi="Arial" w:cs="Arial"/>
                <w:sz w:val="18"/>
                <w:szCs w:val="18"/>
              </w:rPr>
            </w:pPr>
            <w:r>
              <w:rPr>
                <w:rFonts w:ascii="Arial" w:eastAsia="Arial" w:hAnsi="Arial" w:cs="Arial"/>
                <w:sz w:val="18"/>
                <w:szCs w:val="18"/>
              </w:rPr>
              <w:t>Assumption used in National Energy General Planning (RUEN)</w:t>
            </w:r>
          </w:p>
        </w:tc>
      </w:tr>
      <w:tr w:rsidR="00A031A6" w14:paraId="4BB8825E" w14:textId="77777777">
        <w:trPr>
          <w:trHeight w:val="510"/>
        </w:trPr>
        <w:tc>
          <w:tcPr>
            <w:tcW w:w="2302" w:type="dxa"/>
            <w:vAlign w:val="center"/>
          </w:tcPr>
          <w:p w14:paraId="5DD6F14F" w14:textId="77777777" w:rsidR="00A031A6" w:rsidRDefault="00916FD0">
            <w:pPr>
              <w:rPr>
                <w:rFonts w:ascii="Arial" w:eastAsia="Arial" w:hAnsi="Arial" w:cs="Arial"/>
                <w:sz w:val="18"/>
                <w:szCs w:val="18"/>
              </w:rPr>
            </w:pPr>
            <w:r>
              <w:rPr>
                <w:rFonts w:ascii="Arial" w:eastAsia="Arial" w:hAnsi="Arial" w:cs="Arial"/>
                <w:sz w:val="18"/>
                <w:szCs w:val="18"/>
              </w:rPr>
              <w:t>Commercial floor space</w:t>
            </w:r>
          </w:p>
        </w:tc>
        <w:tc>
          <w:tcPr>
            <w:tcW w:w="6909" w:type="dxa"/>
            <w:gridSpan w:val="3"/>
            <w:vAlign w:val="center"/>
          </w:tcPr>
          <w:p w14:paraId="19F4499B" w14:textId="77777777" w:rsidR="00A031A6" w:rsidRDefault="00916FD0">
            <w:pPr>
              <w:rPr>
                <w:rFonts w:ascii="Arial" w:eastAsia="Arial" w:hAnsi="Arial" w:cs="Arial"/>
                <w:sz w:val="18"/>
                <w:szCs w:val="18"/>
              </w:rPr>
            </w:pPr>
            <w:r>
              <w:rPr>
                <w:rFonts w:ascii="Arial" w:eastAsia="Arial" w:hAnsi="Arial" w:cs="Arial"/>
                <w:sz w:val="18"/>
                <w:szCs w:val="18"/>
              </w:rPr>
              <w:t>Assumption used in National Energy General Planning, adjusted with the GDP growth used in a moderate scenario of Medium-term National Development Planning (RPJMN 2020-2024)</w:t>
            </w:r>
          </w:p>
        </w:tc>
      </w:tr>
      <w:tr w:rsidR="00A031A6" w14:paraId="2020ABB4" w14:textId="77777777">
        <w:trPr>
          <w:trHeight w:val="510"/>
        </w:trPr>
        <w:tc>
          <w:tcPr>
            <w:tcW w:w="2302" w:type="dxa"/>
            <w:vAlign w:val="center"/>
          </w:tcPr>
          <w:p w14:paraId="006E3FCC" w14:textId="77777777" w:rsidR="00A031A6" w:rsidRDefault="00916FD0">
            <w:pPr>
              <w:rPr>
                <w:rFonts w:ascii="Arial" w:eastAsia="Arial" w:hAnsi="Arial" w:cs="Arial"/>
                <w:sz w:val="18"/>
                <w:szCs w:val="18"/>
              </w:rPr>
            </w:pPr>
            <w:r>
              <w:rPr>
                <w:rFonts w:ascii="Arial" w:eastAsia="Arial" w:hAnsi="Arial" w:cs="Arial"/>
                <w:sz w:val="18"/>
                <w:szCs w:val="18"/>
              </w:rPr>
              <w:t>Transport activity</w:t>
            </w:r>
          </w:p>
        </w:tc>
        <w:tc>
          <w:tcPr>
            <w:tcW w:w="6909" w:type="dxa"/>
            <w:gridSpan w:val="3"/>
            <w:vAlign w:val="center"/>
          </w:tcPr>
          <w:p w14:paraId="20921AF3" w14:textId="77777777" w:rsidR="00A031A6" w:rsidRDefault="00916FD0">
            <w:pPr>
              <w:rPr>
                <w:rFonts w:ascii="Arial" w:eastAsia="Arial" w:hAnsi="Arial" w:cs="Arial"/>
                <w:sz w:val="18"/>
                <w:szCs w:val="18"/>
              </w:rPr>
            </w:pPr>
            <w:r>
              <w:rPr>
                <w:rFonts w:ascii="Arial" w:eastAsia="Arial" w:hAnsi="Arial" w:cs="Arial"/>
                <w:sz w:val="18"/>
                <w:szCs w:val="18"/>
              </w:rPr>
              <w:t>Assumption used in National Energy Planning, adjusted with the GDP growth used in a moderate scenario of Medium-term National Development Planning (RPJMN 2020-2024)</w:t>
            </w:r>
          </w:p>
        </w:tc>
      </w:tr>
      <w:tr w:rsidR="00A031A6" w14:paraId="5C9B2C38" w14:textId="77777777">
        <w:trPr>
          <w:trHeight w:val="510"/>
        </w:trPr>
        <w:tc>
          <w:tcPr>
            <w:tcW w:w="2302" w:type="dxa"/>
            <w:vAlign w:val="center"/>
          </w:tcPr>
          <w:p w14:paraId="2067EC0D" w14:textId="77777777" w:rsidR="00A031A6" w:rsidRDefault="00916FD0">
            <w:pPr>
              <w:rPr>
                <w:rFonts w:ascii="Arial" w:eastAsia="Arial" w:hAnsi="Arial" w:cs="Arial"/>
                <w:sz w:val="18"/>
                <w:szCs w:val="18"/>
              </w:rPr>
            </w:pPr>
            <w:r>
              <w:rPr>
                <w:rFonts w:ascii="Arial" w:eastAsia="Arial" w:hAnsi="Arial" w:cs="Arial"/>
                <w:sz w:val="18"/>
                <w:szCs w:val="18"/>
              </w:rPr>
              <w:t>Residential urbanization</w:t>
            </w:r>
          </w:p>
        </w:tc>
        <w:tc>
          <w:tcPr>
            <w:tcW w:w="6909" w:type="dxa"/>
            <w:gridSpan w:val="3"/>
            <w:vAlign w:val="center"/>
          </w:tcPr>
          <w:p w14:paraId="4DD76DC6" w14:textId="77777777" w:rsidR="00A031A6" w:rsidRDefault="00916FD0">
            <w:pPr>
              <w:jc w:val="center"/>
              <w:rPr>
                <w:rFonts w:ascii="Arial" w:eastAsia="Arial" w:hAnsi="Arial" w:cs="Arial"/>
                <w:sz w:val="18"/>
                <w:szCs w:val="18"/>
              </w:rPr>
            </w:pPr>
            <w:r>
              <w:rPr>
                <w:rFonts w:ascii="Arial" w:eastAsia="Arial" w:hAnsi="Arial" w:cs="Arial"/>
                <w:sz w:val="18"/>
                <w:szCs w:val="18"/>
              </w:rPr>
              <w:t>Assumption used in National Energy General Planning</w:t>
            </w:r>
          </w:p>
        </w:tc>
      </w:tr>
      <w:tr w:rsidR="00A031A6" w14:paraId="397A72C6" w14:textId="77777777">
        <w:trPr>
          <w:trHeight w:val="510"/>
        </w:trPr>
        <w:tc>
          <w:tcPr>
            <w:tcW w:w="2302" w:type="dxa"/>
            <w:vAlign w:val="center"/>
          </w:tcPr>
          <w:p w14:paraId="47FC3610" w14:textId="77777777" w:rsidR="00A031A6" w:rsidRDefault="00916FD0">
            <w:pPr>
              <w:rPr>
                <w:rFonts w:ascii="Arial" w:eastAsia="Arial" w:hAnsi="Arial" w:cs="Arial"/>
                <w:sz w:val="18"/>
                <w:szCs w:val="18"/>
              </w:rPr>
            </w:pPr>
            <w:r>
              <w:rPr>
                <w:rFonts w:ascii="Arial" w:eastAsia="Arial" w:hAnsi="Arial" w:cs="Arial"/>
                <w:sz w:val="18"/>
                <w:szCs w:val="18"/>
              </w:rPr>
              <w:t>Biodiesel target</w:t>
            </w:r>
          </w:p>
        </w:tc>
        <w:tc>
          <w:tcPr>
            <w:tcW w:w="2302" w:type="dxa"/>
            <w:vAlign w:val="center"/>
          </w:tcPr>
          <w:p w14:paraId="31B2D5DC" w14:textId="77777777" w:rsidR="00A031A6" w:rsidRDefault="00916FD0">
            <w:pPr>
              <w:jc w:val="center"/>
              <w:rPr>
                <w:rFonts w:ascii="Arial" w:eastAsia="Arial" w:hAnsi="Arial" w:cs="Arial"/>
                <w:sz w:val="18"/>
                <w:szCs w:val="18"/>
              </w:rPr>
            </w:pPr>
            <w:r>
              <w:rPr>
                <w:rFonts w:ascii="Arial" w:eastAsia="Arial" w:hAnsi="Arial" w:cs="Arial"/>
                <w:sz w:val="18"/>
                <w:szCs w:val="18"/>
              </w:rPr>
              <w:t>2025: 20%</w:t>
            </w:r>
          </w:p>
        </w:tc>
        <w:tc>
          <w:tcPr>
            <w:tcW w:w="2303" w:type="dxa"/>
            <w:vAlign w:val="center"/>
          </w:tcPr>
          <w:p w14:paraId="34C32ECA" w14:textId="77777777" w:rsidR="00A031A6" w:rsidRDefault="00916FD0">
            <w:pPr>
              <w:jc w:val="center"/>
              <w:rPr>
                <w:rFonts w:ascii="Arial" w:eastAsia="Arial" w:hAnsi="Arial" w:cs="Arial"/>
                <w:sz w:val="18"/>
                <w:szCs w:val="18"/>
              </w:rPr>
            </w:pPr>
            <w:r>
              <w:rPr>
                <w:rFonts w:ascii="Arial" w:eastAsia="Arial" w:hAnsi="Arial" w:cs="Arial"/>
                <w:sz w:val="18"/>
                <w:szCs w:val="18"/>
              </w:rPr>
              <w:t>2025: 30%</w:t>
            </w:r>
          </w:p>
        </w:tc>
        <w:tc>
          <w:tcPr>
            <w:tcW w:w="2304" w:type="dxa"/>
            <w:vAlign w:val="center"/>
          </w:tcPr>
          <w:p w14:paraId="3EE6DB5E" w14:textId="77777777" w:rsidR="00A031A6" w:rsidRDefault="00916FD0">
            <w:pPr>
              <w:jc w:val="center"/>
              <w:rPr>
                <w:rFonts w:ascii="Arial" w:eastAsia="Arial" w:hAnsi="Arial" w:cs="Arial"/>
                <w:sz w:val="18"/>
                <w:szCs w:val="18"/>
              </w:rPr>
            </w:pPr>
            <w:r>
              <w:rPr>
                <w:rFonts w:ascii="Arial" w:eastAsia="Arial" w:hAnsi="Arial" w:cs="Arial"/>
                <w:sz w:val="18"/>
                <w:szCs w:val="18"/>
              </w:rPr>
              <w:t>NA</w:t>
            </w:r>
          </w:p>
        </w:tc>
      </w:tr>
      <w:tr w:rsidR="00A031A6" w14:paraId="7CDEB779" w14:textId="77777777">
        <w:trPr>
          <w:trHeight w:val="510"/>
        </w:trPr>
        <w:tc>
          <w:tcPr>
            <w:tcW w:w="2302" w:type="dxa"/>
            <w:vAlign w:val="center"/>
          </w:tcPr>
          <w:p w14:paraId="2991F6AA" w14:textId="77777777" w:rsidR="00A031A6" w:rsidRDefault="00916FD0">
            <w:pPr>
              <w:rPr>
                <w:rFonts w:ascii="Arial" w:eastAsia="Arial" w:hAnsi="Arial" w:cs="Arial"/>
                <w:sz w:val="18"/>
                <w:szCs w:val="18"/>
              </w:rPr>
            </w:pPr>
            <w:r>
              <w:rPr>
                <w:rFonts w:ascii="Arial" w:eastAsia="Arial" w:hAnsi="Arial" w:cs="Arial"/>
                <w:sz w:val="18"/>
                <w:szCs w:val="18"/>
              </w:rPr>
              <w:t>Bioethanol target</w:t>
            </w:r>
          </w:p>
        </w:tc>
        <w:tc>
          <w:tcPr>
            <w:tcW w:w="2302" w:type="dxa"/>
            <w:vAlign w:val="center"/>
          </w:tcPr>
          <w:p w14:paraId="5FB09E57" w14:textId="77777777" w:rsidR="00A031A6" w:rsidRDefault="00916FD0">
            <w:pPr>
              <w:jc w:val="center"/>
              <w:rPr>
                <w:rFonts w:ascii="Arial" w:eastAsia="Arial" w:hAnsi="Arial" w:cs="Arial"/>
                <w:sz w:val="18"/>
                <w:szCs w:val="18"/>
              </w:rPr>
            </w:pPr>
            <w:r>
              <w:rPr>
                <w:rFonts w:ascii="Arial" w:eastAsia="Arial" w:hAnsi="Arial" w:cs="Arial"/>
                <w:sz w:val="18"/>
                <w:szCs w:val="18"/>
              </w:rPr>
              <w:t>2025: 5%</w:t>
            </w:r>
          </w:p>
        </w:tc>
        <w:tc>
          <w:tcPr>
            <w:tcW w:w="2303" w:type="dxa"/>
            <w:vAlign w:val="center"/>
          </w:tcPr>
          <w:p w14:paraId="15B74D7E" w14:textId="77777777" w:rsidR="00A031A6" w:rsidRDefault="00916FD0">
            <w:pPr>
              <w:jc w:val="center"/>
              <w:rPr>
                <w:rFonts w:ascii="Arial" w:eastAsia="Arial" w:hAnsi="Arial" w:cs="Arial"/>
                <w:sz w:val="18"/>
                <w:szCs w:val="18"/>
              </w:rPr>
            </w:pPr>
            <w:r>
              <w:rPr>
                <w:rFonts w:ascii="Arial" w:eastAsia="Arial" w:hAnsi="Arial" w:cs="Arial"/>
                <w:sz w:val="18"/>
                <w:szCs w:val="18"/>
              </w:rPr>
              <w:t>2025: 20%</w:t>
            </w:r>
          </w:p>
        </w:tc>
        <w:tc>
          <w:tcPr>
            <w:tcW w:w="2304" w:type="dxa"/>
            <w:vAlign w:val="center"/>
          </w:tcPr>
          <w:p w14:paraId="3424A51A" w14:textId="77777777" w:rsidR="00A031A6" w:rsidRDefault="00916FD0">
            <w:pPr>
              <w:jc w:val="center"/>
              <w:rPr>
                <w:rFonts w:ascii="Arial" w:eastAsia="Arial" w:hAnsi="Arial" w:cs="Arial"/>
                <w:sz w:val="18"/>
                <w:szCs w:val="18"/>
              </w:rPr>
            </w:pPr>
            <w:r>
              <w:rPr>
                <w:rFonts w:ascii="Arial" w:eastAsia="Arial" w:hAnsi="Arial" w:cs="Arial"/>
                <w:sz w:val="18"/>
                <w:szCs w:val="18"/>
              </w:rPr>
              <w:t>NA</w:t>
            </w:r>
          </w:p>
        </w:tc>
      </w:tr>
      <w:tr w:rsidR="00A031A6" w14:paraId="088A7C04" w14:textId="77777777">
        <w:trPr>
          <w:trHeight w:val="510"/>
        </w:trPr>
        <w:tc>
          <w:tcPr>
            <w:tcW w:w="2302" w:type="dxa"/>
            <w:vAlign w:val="center"/>
          </w:tcPr>
          <w:p w14:paraId="0731A5C8" w14:textId="77777777" w:rsidR="00A031A6" w:rsidRDefault="00916FD0">
            <w:pPr>
              <w:rPr>
                <w:rFonts w:ascii="Arial" w:eastAsia="Arial" w:hAnsi="Arial" w:cs="Arial"/>
                <w:sz w:val="18"/>
                <w:szCs w:val="18"/>
              </w:rPr>
            </w:pPr>
            <w:r>
              <w:rPr>
                <w:rFonts w:ascii="Arial" w:eastAsia="Arial" w:hAnsi="Arial" w:cs="Arial"/>
                <w:sz w:val="18"/>
                <w:szCs w:val="18"/>
              </w:rPr>
              <w:t>Access to electricity</w:t>
            </w:r>
          </w:p>
        </w:tc>
        <w:tc>
          <w:tcPr>
            <w:tcW w:w="2302" w:type="dxa"/>
            <w:vAlign w:val="center"/>
          </w:tcPr>
          <w:p w14:paraId="16B190D9" w14:textId="77777777" w:rsidR="00A031A6" w:rsidRDefault="00916FD0">
            <w:pPr>
              <w:jc w:val="center"/>
              <w:rPr>
                <w:rFonts w:ascii="Arial" w:eastAsia="Arial" w:hAnsi="Arial" w:cs="Arial"/>
                <w:sz w:val="18"/>
                <w:szCs w:val="18"/>
              </w:rPr>
            </w:pPr>
            <w:r>
              <w:rPr>
                <w:rFonts w:ascii="Arial" w:eastAsia="Arial" w:hAnsi="Arial" w:cs="Arial"/>
                <w:sz w:val="18"/>
                <w:szCs w:val="18"/>
              </w:rPr>
              <w:t>2020: 100%</w:t>
            </w:r>
          </w:p>
        </w:tc>
        <w:tc>
          <w:tcPr>
            <w:tcW w:w="2303" w:type="dxa"/>
            <w:vAlign w:val="center"/>
          </w:tcPr>
          <w:p w14:paraId="350E883C" w14:textId="77777777" w:rsidR="00A031A6" w:rsidRDefault="00916FD0">
            <w:pPr>
              <w:jc w:val="center"/>
              <w:rPr>
                <w:rFonts w:ascii="Arial" w:eastAsia="Arial" w:hAnsi="Arial" w:cs="Arial"/>
                <w:sz w:val="18"/>
                <w:szCs w:val="18"/>
              </w:rPr>
            </w:pPr>
            <w:r>
              <w:rPr>
                <w:rFonts w:ascii="Arial" w:eastAsia="Arial" w:hAnsi="Arial" w:cs="Arial"/>
                <w:sz w:val="18"/>
                <w:szCs w:val="18"/>
              </w:rPr>
              <w:t>2020: 100%</w:t>
            </w:r>
          </w:p>
        </w:tc>
        <w:tc>
          <w:tcPr>
            <w:tcW w:w="2304" w:type="dxa"/>
            <w:vAlign w:val="center"/>
          </w:tcPr>
          <w:p w14:paraId="098D3081" w14:textId="77777777" w:rsidR="00A031A6" w:rsidRDefault="00916FD0">
            <w:pPr>
              <w:jc w:val="center"/>
              <w:rPr>
                <w:rFonts w:ascii="Arial" w:eastAsia="Arial" w:hAnsi="Arial" w:cs="Arial"/>
                <w:sz w:val="18"/>
                <w:szCs w:val="18"/>
              </w:rPr>
            </w:pPr>
            <w:r>
              <w:rPr>
                <w:rFonts w:ascii="Arial" w:eastAsia="Arial" w:hAnsi="Arial" w:cs="Arial"/>
                <w:sz w:val="18"/>
                <w:szCs w:val="18"/>
              </w:rPr>
              <w:t>2020: 100%</w:t>
            </w:r>
          </w:p>
        </w:tc>
      </w:tr>
      <w:tr w:rsidR="00A031A6" w14:paraId="6B4B4062" w14:textId="77777777">
        <w:trPr>
          <w:trHeight w:val="510"/>
        </w:trPr>
        <w:tc>
          <w:tcPr>
            <w:tcW w:w="2302" w:type="dxa"/>
            <w:vAlign w:val="center"/>
          </w:tcPr>
          <w:p w14:paraId="43C44CF1" w14:textId="77777777" w:rsidR="00A031A6" w:rsidRDefault="00916FD0">
            <w:pPr>
              <w:rPr>
                <w:rFonts w:ascii="Arial" w:eastAsia="Arial" w:hAnsi="Arial" w:cs="Arial"/>
                <w:sz w:val="18"/>
                <w:szCs w:val="18"/>
              </w:rPr>
            </w:pPr>
            <w:r>
              <w:rPr>
                <w:rFonts w:ascii="Arial" w:eastAsia="Arial" w:hAnsi="Arial" w:cs="Arial"/>
                <w:sz w:val="18"/>
                <w:szCs w:val="18"/>
              </w:rPr>
              <w:t>Access to clean cooking fuels</w:t>
            </w:r>
          </w:p>
        </w:tc>
        <w:tc>
          <w:tcPr>
            <w:tcW w:w="2302" w:type="dxa"/>
            <w:vAlign w:val="center"/>
          </w:tcPr>
          <w:p w14:paraId="5CC888D3" w14:textId="77777777" w:rsidR="00A031A6" w:rsidRDefault="00916FD0">
            <w:pPr>
              <w:jc w:val="center"/>
              <w:rPr>
                <w:rFonts w:ascii="Arial" w:eastAsia="Arial" w:hAnsi="Arial" w:cs="Arial"/>
                <w:sz w:val="18"/>
                <w:szCs w:val="18"/>
              </w:rPr>
            </w:pPr>
            <w:r>
              <w:rPr>
                <w:rFonts w:ascii="Arial" w:eastAsia="Arial" w:hAnsi="Arial" w:cs="Arial"/>
                <w:sz w:val="18"/>
                <w:szCs w:val="18"/>
              </w:rPr>
              <w:t>Based on 2018 share</w:t>
            </w:r>
          </w:p>
        </w:tc>
        <w:tc>
          <w:tcPr>
            <w:tcW w:w="2303" w:type="dxa"/>
            <w:vAlign w:val="center"/>
          </w:tcPr>
          <w:p w14:paraId="1435E73D" w14:textId="77777777" w:rsidR="00A031A6" w:rsidRDefault="00916FD0">
            <w:pPr>
              <w:jc w:val="center"/>
              <w:rPr>
                <w:rFonts w:ascii="Arial" w:eastAsia="Arial" w:hAnsi="Arial" w:cs="Arial"/>
                <w:sz w:val="18"/>
                <w:szCs w:val="18"/>
              </w:rPr>
            </w:pPr>
            <w:r>
              <w:rPr>
                <w:rFonts w:ascii="Arial" w:eastAsia="Arial" w:hAnsi="Arial" w:cs="Arial"/>
                <w:sz w:val="18"/>
                <w:szCs w:val="18"/>
              </w:rPr>
              <w:t>4.7 million city gas connections</w:t>
            </w:r>
          </w:p>
          <w:p w14:paraId="72F4C7CE" w14:textId="77777777" w:rsidR="00A031A6" w:rsidRDefault="00916FD0">
            <w:pPr>
              <w:jc w:val="center"/>
              <w:rPr>
                <w:rFonts w:ascii="Arial" w:eastAsia="Arial" w:hAnsi="Arial" w:cs="Arial"/>
                <w:sz w:val="18"/>
                <w:szCs w:val="18"/>
              </w:rPr>
            </w:pPr>
            <w:r>
              <w:rPr>
                <w:rFonts w:ascii="Arial" w:eastAsia="Arial" w:hAnsi="Arial" w:cs="Arial"/>
                <w:sz w:val="18"/>
                <w:szCs w:val="18"/>
              </w:rPr>
              <w:t>1.1 million biogas digesters</w:t>
            </w:r>
          </w:p>
        </w:tc>
        <w:tc>
          <w:tcPr>
            <w:tcW w:w="2304" w:type="dxa"/>
            <w:vAlign w:val="center"/>
          </w:tcPr>
          <w:p w14:paraId="33A20FF7" w14:textId="77777777" w:rsidR="00A031A6" w:rsidRDefault="00916FD0">
            <w:pPr>
              <w:jc w:val="center"/>
              <w:rPr>
                <w:rFonts w:ascii="Arial" w:eastAsia="Arial" w:hAnsi="Arial" w:cs="Arial"/>
                <w:sz w:val="18"/>
                <w:szCs w:val="18"/>
              </w:rPr>
            </w:pPr>
            <w:r>
              <w:rPr>
                <w:rFonts w:ascii="Arial" w:eastAsia="Arial" w:hAnsi="Arial" w:cs="Arial"/>
                <w:sz w:val="18"/>
                <w:szCs w:val="18"/>
              </w:rPr>
              <w:t>100 per cent access to clean cooking fuels and technologies</w:t>
            </w:r>
          </w:p>
        </w:tc>
      </w:tr>
      <w:tr w:rsidR="00A031A6" w14:paraId="46CCF0C8" w14:textId="77777777">
        <w:trPr>
          <w:trHeight w:val="510"/>
        </w:trPr>
        <w:tc>
          <w:tcPr>
            <w:tcW w:w="2302" w:type="dxa"/>
            <w:vAlign w:val="center"/>
          </w:tcPr>
          <w:p w14:paraId="40F1DEA5" w14:textId="77777777" w:rsidR="00A031A6" w:rsidRDefault="00916FD0">
            <w:pPr>
              <w:rPr>
                <w:rFonts w:ascii="Arial" w:eastAsia="Arial" w:hAnsi="Arial" w:cs="Arial"/>
                <w:sz w:val="18"/>
                <w:szCs w:val="18"/>
              </w:rPr>
            </w:pPr>
            <w:r>
              <w:rPr>
                <w:rFonts w:ascii="Arial" w:eastAsia="Arial" w:hAnsi="Arial" w:cs="Arial"/>
                <w:sz w:val="18"/>
                <w:szCs w:val="18"/>
              </w:rPr>
              <w:t>Energy efficiency</w:t>
            </w:r>
          </w:p>
        </w:tc>
        <w:tc>
          <w:tcPr>
            <w:tcW w:w="2302" w:type="dxa"/>
            <w:vAlign w:val="center"/>
          </w:tcPr>
          <w:p w14:paraId="19F74147" w14:textId="77777777" w:rsidR="00A031A6" w:rsidRDefault="00916FD0">
            <w:pPr>
              <w:jc w:val="center"/>
              <w:rPr>
                <w:rFonts w:ascii="Arial" w:eastAsia="Arial" w:hAnsi="Arial" w:cs="Arial"/>
                <w:sz w:val="18"/>
                <w:szCs w:val="18"/>
              </w:rPr>
            </w:pPr>
            <w:r>
              <w:rPr>
                <w:rFonts w:ascii="Arial" w:eastAsia="Arial" w:hAnsi="Arial" w:cs="Arial"/>
                <w:sz w:val="18"/>
                <w:szCs w:val="18"/>
              </w:rPr>
              <w:t>Remains constant</w:t>
            </w:r>
          </w:p>
        </w:tc>
        <w:tc>
          <w:tcPr>
            <w:tcW w:w="2303" w:type="dxa"/>
            <w:vAlign w:val="center"/>
          </w:tcPr>
          <w:p w14:paraId="3D8FF265" w14:textId="77777777" w:rsidR="00A031A6" w:rsidRDefault="00916FD0">
            <w:pPr>
              <w:jc w:val="center"/>
              <w:rPr>
                <w:rFonts w:ascii="Arial" w:eastAsia="Arial" w:hAnsi="Arial" w:cs="Arial"/>
                <w:sz w:val="18"/>
                <w:szCs w:val="18"/>
              </w:rPr>
            </w:pPr>
            <w:r>
              <w:rPr>
                <w:rFonts w:ascii="Arial" w:eastAsia="Arial" w:hAnsi="Arial" w:cs="Arial"/>
                <w:sz w:val="18"/>
                <w:szCs w:val="18"/>
              </w:rPr>
              <w:t>1 per cent annual improvement in TFEC</w:t>
            </w:r>
          </w:p>
        </w:tc>
        <w:tc>
          <w:tcPr>
            <w:tcW w:w="2304" w:type="dxa"/>
            <w:vAlign w:val="center"/>
          </w:tcPr>
          <w:p w14:paraId="5652EFF8" w14:textId="77777777" w:rsidR="00A031A6" w:rsidRDefault="00916FD0">
            <w:pPr>
              <w:jc w:val="center"/>
              <w:rPr>
                <w:rFonts w:ascii="Arial" w:eastAsia="Arial" w:hAnsi="Arial" w:cs="Arial"/>
                <w:sz w:val="18"/>
                <w:szCs w:val="18"/>
              </w:rPr>
            </w:pPr>
            <w:r>
              <w:rPr>
                <w:rFonts w:ascii="Arial" w:eastAsia="Arial" w:hAnsi="Arial" w:cs="Arial"/>
                <w:sz w:val="18"/>
                <w:szCs w:val="18"/>
              </w:rPr>
              <w:t>1.53 per cent annual improvement in TFEC</w:t>
            </w:r>
          </w:p>
        </w:tc>
      </w:tr>
      <w:tr w:rsidR="00A031A6" w14:paraId="2E189EFD" w14:textId="77777777">
        <w:trPr>
          <w:trHeight w:val="510"/>
        </w:trPr>
        <w:tc>
          <w:tcPr>
            <w:tcW w:w="2302" w:type="dxa"/>
            <w:vAlign w:val="center"/>
          </w:tcPr>
          <w:p w14:paraId="3F3E13E1" w14:textId="77777777" w:rsidR="00A031A6" w:rsidRDefault="00916FD0">
            <w:pPr>
              <w:rPr>
                <w:rFonts w:ascii="Arial" w:eastAsia="Arial" w:hAnsi="Arial" w:cs="Arial"/>
                <w:sz w:val="18"/>
                <w:szCs w:val="18"/>
              </w:rPr>
            </w:pPr>
            <w:r>
              <w:rPr>
                <w:rFonts w:ascii="Arial" w:eastAsia="Arial" w:hAnsi="Arial" w:cs="Arial"/>
                <w:sz w:val="18"/>
                <w:szCs w:val="18"/>
              </w:rPr>
              <w:t>Power plants</w:t>
            </w:r>
          </w:p>
        </w:tc>
        <w:tc>
          <w:tcPr>
            <w:tcW w:w="2302" w:type="dxa"/>
            <w:vAlign w:val="center"/>
          </w:tcPr>
          <w:p w14:paraId="4B8D75CE" w14:textId="77777777" w:rsidR="00A031A6" w:rsidRDefault="00916FD0">
            <w:pPr>
              <w:jc w:val="center"/>
              <w:rPr>
                <w:rFonts w:ascii="Arial" w:eastAsia="Arial" w:hAnsi="Arial" w:cs="Arial"/>
                <w:sz w:val="18"/>
                <w:szCs w:val="18"/>
              </w:rPr>
            </w:pPr>
            <w:r>
              <w:rPr>
                <w:rFonts w:ascii="Arial" w:eastAsia="Arial" w:hAnsi="Arial" w:cs="Arial"/>
                <w:sz w:val="18"/>
                <w:szCs w:val="18"/>
              </w:rPr>
              <w:t>Based on 2018 share</w:t>
            </w:r>
          </w:p>
        </w:tc>
        <w:tc>
          <w:tcPr>
            <w:tcW w:w="2303" w:type="dxa"/>
            <w:vAlign w:val="center"/>
          </w:tcPr>
          <w:p w14:paraId="0CED3C3A" w14:textId="77777777" w:rsidR="00A031A6" w:rsidRDefault="00916FD0">
            <w:pPr>
              <w:jc w:val="center"/>
              <w:rPr>
                <w:rFonts w:ascii="Arial" w:eastAsia="Arial" w:hAnsi="Arial" w:cs="Arial"/>
                <w:sz w:val="18"/>
                <w:szCs w:val="18"/>
              </w:rPr>
            </w:pPr>
            <w:r>
              <w:rPr>
                <w:rFonts w:ascii="Arial" w:eastAsia="Arial" w:hAnsi="Arial" w:cs="Arial"/>
                <w:sz w:val="18"/>
                <w:szCs w:val="18"/>
              </w:rPr>
              <w:t>RUPTL 2019 - 2028</w:t>
            </w:r>
          </w:p>
        </w:tc>
        <w:tc>
          <w:tcPr>
            <w:tcW w:w="2304" w:type="dxa"/>
            <w:vAlign w:val="center"/>
          </w:tcPr>
          <w:p w14:paraId="042C2F20" w14:textId="77777777" w:rsidR="00A031A6" w:rsidRDefault="00916FD0">
            <w:pPr>
              <w:jc w:val="center"/>
              <w:rPr>
                <w:rFonts w:ascii="Arial" w:eastAsia="Arial" w:hAnsi="Arial" w:cs="Arial"/>
                <w:sz w:val="18"/>
                <w:szCs w:val="18"/>
              </w:rPr>
            </w:pPr>
            <w:r>
              <w:rPr>
                <w:rFonts w:ascii="Arial" w:eastAsia="Arial" w:hAnsi="Arial" w:cs="Arial"/>
                <w:sz w:val="18"/>
                <w:szCs w:val="18"/>
              </w:rPr>
              <w:t>Based on least  cost optimization</w:t>
            </w:r>
          </w:p>
        </w:tc>
      </w:tr>
    </w:tbl>
    <w:p w14:paraId="01982AE1" w14:textId="77777777" w:rsidR="00A031A6" w:rsidRDefault="00A031A6">
      <w:bookmarkStart w:id="38" w:name="_2grqrue" w:colFirst="0" w:colLast="0"/>
      <w:bookmarkEnd w:id="38"/>
    </w:p>
    <w:p w14:paraId="45B19A7B" w14:textId="77777777" w:rsidR="00A031A6" w:rsidRDefault="00916FD0">
      <w:pPr>
        <w:pStyle w:val="Heading2"/>
        <w:numPr>
          <w:ilvl w:val="1"/>
          <w:numId w:val="21"/>
        </w:numPr>
      </w:pPr>
      <w:bookmarkStart w:id="39" w:name="_Toc62221396"/>
      <w:r>
        <w:t>National energy resources</w:t>
      </w:r>
      <w:bookmarkEnd w:id="39"/>
    </w:p>
    <w:p w14:paraId="498048FC"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 xml:space="preserve">Indonesia is a resource-rich country and has abundant renewable energy potential. It has coal resources and reserves of 151,399.41 million tons (MT) and 39,890.95 MT, respectively. In 2018, coal production in Indonesia amounted to 557.77 MT of which 356.39 MT were exported, establishing Indonesia as the world’s fourth largest exporter of coal. </w:t>
      </w:r>
    </w:p>
    <w:p w14:paraId="597CCAD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proven and potential oil reserves of 3.15 billion barrels and 4.36 billion barrels, respectively. The country has been a net importer of oil since 2004, due to a production decline caused by depletion of mature production wells, the limited development of new production wells and declining investment.</w:t>
      </w:r>
    </w:p>
    <w:p w14:paraId="237F0F33" w14:textId="77777777" w:rsidR="00A031A6" w:rsidRDefault="00916FD0">
      <w:pPr>
        <w:spacing w:line="360" w:lineRule="auto"/>
        <w:jc w:val="both"/>
        <w:rPr>
          <w:rFonts w:ascii="Arial" w:eastAsia="Arial" w:hAnsi="Arial" w:cs="Arial"/>
          <w:sz w:val="20"/>
          <w:szCs w:val="20"/>
        </w:rPr>
      </w:pPr>
      <w:bookmarkStart w:id="40" w:name="_3fwokq0" w:colFirst="0" w:colLast="0"/>
      <w:bookmarkEnd w:id="40"/>
      <w:r>
        <w:rPr>
          <w:rFonts w:ascii="Arial" w:eastAsia="Arial" w:hAnsi="Arial" w:cs="Arial"/>
          <w:sz w:val="20"/>
          <w:szCs w:val="20"/>
        </w:rPr>
        <w:t>Indonesia’s proven and potential natural gas reserves are estimated at 96.06 trillion standard cubic feet (TSCF) and 39.49 TSCF, respectively. In 2018, natural gas production in Indonesia totalled 2.99 TSCF, making the country the largest exporter of natural gas in South-East Asia.</w:t>
      </w:r>
    </w:p>
    <w:p w14:paraId="5C76D09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Renewable energy potential in Indonesia is mentioned in the RUPTL document. The country’s utilization of renewable energy potential is very low (table 2) This indicates that there is significant potential to expand the renewables share. </w:t>
      </w:r>
    </w:p>
    <w:p w14:paraId="552E4D56" w14:textId="77777777" w:rsidR="00A031A6" w:rsidRDefault="00916FD0">
      <w:pPr>
        <w:spacing w:after="120" w:line="240" w:lineRule="auto"/>
        <w:jc w:val="center"/>
        <w:rPr>
          <w:rFonts w:ascii="Arial" w:eastAsia="Arial" w:hAnsi="Arial" w:cs="Arial"/>
          <w:b/>
          <w:sz w:val="20"/>
          <w:szCs w:val="20"/>
        </w:rPr>
      </w:pPr>
      <w:bookmarkStart w:id="41" w:name="_1v1yuxt" w:colFirst="0" w:colLast="0"/>
      <w:bookmarkEnd w:id="41"/>
      <w:r>
        <w:rPr>
          <w:rFonts w:ascii="Arial" w:eastAsia="Arial" w:hAnsi="Arial" w:cs="Arial"/>
          <w:b/>
          <w:sz w:val="20"/>
          <w:szCs w:val="20"/>
        </w:rPr>
        <w:t>Table 2 Renewable energy resource utilization in Indonesia</w:t>
      </w:r>
    </w:p>
    <w:tbl>
      <w:tblPr>
        <w:tblStyle w:val="a1"/>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2303"/>
        <w:gridCol w:w="2304"/>
      </w:tblGrid>
      <w:tr w:rsidR="00A031A6" w14:paraId="793D60D1" w14:textId="77777777">
        <w:trPr>
          <w:trHeight w:val="510"/>
        </w:trPr>
        <w:tc>
          <w:tcPr>
            <w:tcW w:w="2302" w:type="dxa"/>
            <w:shd w:val="clear" w:color="auto" w:fill="00B0F0"/>
            <w:vAlign w:val="center"/>
          </w:tcPr>
          <w:p w14:paraId="6C59B375" w14:textId="77777777" w:rsidR="00A031A6" w:rsidRDefault="00916FD0">
            <w:pPr>
              <w:rPr>
                <w:rFonts w:ascii="Arial" w:eastAsia="Arial" w:hAnsi="Arial" w:cs="Arial"/>
                <w:b/>
                <w:color w:val="FFFFFF"/>
                <w:sz w:val="18"/>
                <w:szCs w:val="18"/>
              </w:rPr>
            </w:pPr>
            <w:r>
              <w:rPr>
                <w:rFonts w:ascii="Arial" w:eastAsia="Arial" w:hAnsi="Arial" w:cs="Arial"/>
                <w:b/>
                <w:color w:val="FFFFFF"/>
                <w:sz w:val="18"/>
                <w:szCs w:val="18"/>
              </w:rPr>
              <w:t>Renewable Energy</w:t>
            </w:r>
          </w:p>
        </w:tc>
        <w:tc>
          <w:tcPr>
            <w:tcW w:w="2302" w:type="dxa"/>
            <w:shd w:val="clear" w:color="auto" w:fill="00B0F0"/>
            <w:vAlign w:val="center"/>
          </w:tcPr>
          <w:p w14:paraId="484679D4" w14:textId="77777777"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Potential</w:t>
            </w:r>
          </w:p>
        </w:tc>
        <w:tc>
          <w:tcPr>
            <w:tcW w:w="2303" w:type="dxa"/>
            <w:shd w:val="clear" w:color="auto" w:fill="00B0F0"/>
            <w:vAlign w:val="center"/>
          </w:tcPr>
          <w:p w14:paraId="52BC8A43" w14:textId="77777777"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Installed capacity</w:t>
            </w:r>
          </w:p>
        </w:tc>
        <w:tc>
          <w:tcPr>
            <w:tcW w:w="2304" w:type="dxa"/>
            <w:shd w:val="clear" w:color="auto" w:fill="00B0F0"/>
            <w:vAlign w:val="center"/>
          </w:tcPr>
          <w:p w14:paraId="26111AC9" w14:textId="77777777" w:rsidR="00A031A6" w:rsidRDefault="00916FD0">
            <w:pPr>
              <w:jc w:val="center"/>
              <w:rPr>
                <w:rFonts w:ascii="Arial" w:eastAsia="Arial" w:hAnsi="Arial" w:cs="Arial"/>
                <w:b/>
                <w:color w:val="FFFFFF"/>
                <w:sz w:val="18"/>
                <w:szCs w:val="18"/>
              </w:rPr>
            </w:pPr>
            <w:r>
              <w:rPr>
                <w:rFonts w:ascii="Arial" w:eastAsia="Arial" w:hAnsi="Arial" w:cs="Arial"/>
                <w:b/>
                <w:color w:val="FFFFFF"/>
                <w:sz w:val="18"/>
                <w:szCs w:val="18"/>
              </w:rPr>
              <w:t>Utilization</w:t>
            </w:r>
          </w:p>
        </w:tc>
      </w:tr>
      <w:tr w:rsidR="00A031A6" w14:paraId="4DB26D37" w14:textId="77777777">
        <w:trPr>
          <w:trHeight w:val="510"/>
        </w:trPr>
        <w:tc>
          <w:tcPr>
            <w:tcW w:w="2302" w:type="dxa"/>
            <w:vAlign w:val="center"/>
          </w:tcPr>
          <w:p w14:paraId="42B81CEC" w14:textId="77777777" w:rsidR="00A031A6" w:rsidRDefault="00916FD0">
            <w:pPr>
              <w:rPr>
                <w:rFonts w:ascii="Arial" w:eastAsia="Arial" w:hAnsi="Arial" w:cs="Arial"/>
                <w:sz w:val="18"/>
                <w:szCs w:val="18"/>
              </w:rPr>
            </w:pPr>
            <w:r>
              <w:rPr>
                <w:rFonts w:ascii="Arial" w:eastAsia="Arial" w:hAnsi="Arial" w:cs="Arial"/>
                <w:sz w:val="18"/>
                <w:szCs w:val="18"/>
              </w:rPr>
              <w:t>Geothermal</w:t>
            </w:r>
          </w:p>
        </w:tc>
        <w:tc>
          <w:tcPr>
            <w:tcW w:w="2302" w:type="dxa"/>
            <w:vAlign w:val="center"/>
          </w:tcPr>
          <w:p w14:paraId="2C3A7243" w14:textId="77777777" w:rsidR="00A031A6" w:rsidRDefault="00916FD0">
            <w:pPr>
              <w:jc w:val="center"/>
              <w:rPr>
                <w:rFonts w:ascii="Arial" w:eastAsia="Arial" w:hAnsi="Arial" w:cs="Arial"/>
                <w:sz w:val="18"/>
                <w:szCs w:val="18"/>
              </w:rPr>
            </w:pPr>
            <w:r>
              <w:rPr>
                <w:rFonts w:ascii="Arial" w:eastAsia="Arial" w:hAnsi="Arial" w:cs="Arial"/>
                <w:sz w:val="18"/>
                <w:szCs w:val="18"/>
              </w:rPr>
              <w:t>29,544 MW</w:t>
            </w:r>
          </w:p>
        </w:tc>
        <w:tc>
          <w:tcPr>
            <w:tcW w:w="2303" w:type="dxa"/>
            <w:vAlign w:val="center"/>
          </w:tcPr>
          <w:p w14:paraId="593E36BA" w14:textId="77777777" w:rsidR="00A031A6" w:rsidRDefault="00916FD0">
            <w:pPr>
              <w:jc w:val="center"/>
              <w:rPr>
                <w:rFonts w:ascii="Arial" w:eastAsia="Arial" w:hAnsi="Arial" w:cs="Arial"/>
                <w:sz w:val="18"/>
                <w:szCs w:val="18"/>
              </w:rPr>
            </w:pPr>
            <w:r>
              <w:rPr>
                <w:rFonts w:ascii="Arial" w:eastAsia="Arial" w:hAnsi="Arial" w:cs="Arial"/>
                <w:sz w:val="18"/>
                <w:szCs w:val="18"/>
              </w:rPr>
              <w:t>1,438.5 MW</w:t>
            </w:r>
          </w:p>
        </w:tc>
        <w:tc>
          <w:tcPr>
            <w:tcW w:w="2304" w:type="dxa"/>
            <w:vAlign w:val="center"/>
          </w:tcPr>
          <w:p w14:paraId="42C654DD" w14:textId="77777777" w:rsidR="00A031A6" w:rsidRDefault="00916FD0">
            <w:pPr>
              <w:jc w:val="center"/>
              <w:rPr>
                <w:rFonts w:ascii="Arial" w:eastAsia="Arial" w:hAnsi="Arial" w:cs="Arial"/>
                <w:sz w:val="18"/>
                <w:szCs w:val="18"/>
              </w:rPr>
            </w:pPr>
            <w:r>
              <w:rPr>
                <w:rFonts w:ascii="Arial" w:eastAsia="Arial" w:hAnsi="Arial" w:cs="Arial"/>
                <w:sz w:val="18"/>
                <w:szCs w:val="18"/>
              </w:rPr>
              <w:t>4.9 per cent</w:t>
            </w:r>
          </w:p>
        </w:tc>
      </w:tr>
      <w:tr w:rsidR="00A031A6" w14:paraId="15025C40" w14:textId="77777777">
        <w:trPr>
          <w:trHeight w:val="510"/>
        </w:trPr>
        <w:tc>
          <w:tcPr>
            <w:tcW w:w="2302" w:type="dxa"/>
            <w:vAlign w:val="center"/>
          </w:tcPr>
          <w:p w14:paraId="5114A308" w14:textId="77777777" w:rsidR="00A031A6" w:rsidRDefault="00916FD0">
            <w:pPr>
              <w:rPr>
                <w:rFonts w:ascii="Arial" w:eastAsia="Arial" w:hAnsi="Arial" w:cs="Arial"/>
                <w:sz w:val="18"/>
                <w:szCs w:val="18"/>
              </w:rPr>
            </w:pPr>
            <w:r>
              <w:rPr>
                <w:rFonts w:ascii="Arial" w:eastAsia="Arial" w:hAnsi="Arial" w:cs="Arial"/>
                <w:sz w:val="18"/>
                <w:szCs w:val="18"/>
              </w:rPr>
              <w:t>Hydro</w:t>
            </w:r>
          </w:p>
        </w:tc>
        <w:tc>
          <w:tcPr>
            <w:tcW w:w="2302" w:type="dxa"/>
            <w:vAlign w:val="center"/>
          </w:tcPr>
          <w:p w14:paraId="1FBF51C2" w14:textId="77777777" w:rsidR="00A031A6" w:rsidRDefault="00916FD0">
            <w:pPr>
              <w:jc w:val="center"/>
              <w:rPr>
                <w:rFonts w:ascii="Arial" w:eastAsia="Arial" w:hAnsi="Arial" w:cs="Arial"/>
                <w:sz w:val="18"/>
                <w:szCs w:val="18"/>
              </w:rPr>
            </w:pPr>
            <w:r>
              <w:rPr>
                <w:rFonts w:ascii="Arial" w:eastAsia="Arial" w:hAnsi="Arial" w:cs="Arial"/>
                <w:sz w:val="18"/>
                <w:szCs w:val="18"/>
              </w:rPr>
              <w:t>75,091 MW</w:t>
            </w:r>
          </w:p>
        </w:tc>
        <w:tc>
          <w:tcPr>
            <w:tcW w:w="2303" w:type="dxa"/>
            <w:vAlign w:val="center"/>
          </w:tcPr>
          <w:p w14:paraId="09B04FE1" w14:textId="77777777" w:rsidR="00A031A6" w:rsidRDefault="00916FD0">
            <w:pPr>
              <w:jc w:val="center"/>
              <w:rPr>
                <w:rFonts w:ascii="Arial" w:eastAsia="Arial" w:hAnsi="Arial" w:cs="Arial"/>
                <w:sz w:val="18"/>
                <w:szCs w:val="18"/>
              </w:rPr>
            </w:pPr>
            <w:r>
              <w:rPr>
                <w:rFonts w:ascii="Arial" w:eastAsia="Arial" w:hAnsi="Arial" w:cs="Arial"/>
                <w:sz w:val="18"/>
                <w:szCs w:val="18"/>
              </w:rPr>
              <w:t>4,826.7 MW</w:t>
            </w:r>
          </w:p>
        </w:tc>
        <w:tc>
          <w:tcPr>
            <w:tcW w:w="2304" w:type="dxa"/>
            <w:vAlign w:val="center"/>
          </w:tcPr>
          <w:p w14:paraId="4BF51A64" w14:textId="77777777" w:rsidR="00A031A6" w:rsidRDefault="00916FD0">
            <w:pPr>
              <w:jc w:val="center"/>
              <w:rPr>
                <w:rFonts w:ascii="Arial" w:eastAsia="Arial" w:hAnsi="Arial" w:cs="Arial"/>
                <w:sz w:val="18"/>
                <w:szCs w:val="18"/>
              </w:rPr>
            </w:pPr>
            <w:r>
              <w:rPr>
                <w:rFonts w:ascii="Arial" w:eastAsia="Arial" w:hAnsi="Arial" w:cs="Arial"/>
                <w:sz w:val="18"/>
                <w:szCs w:val="18"/>
              </w:rPr>
              <w:t>6.4 per cent</w:t>
            </w:r>
          </w:p>
        </w:tc>
      </w:tr>
      <w:tr w:rsidR="00A031A6" w14:paraId="40C063D1" w14:textId="77777777">
        <w:trPr>
          <w:trHeight w:val="510"/>
        </w:trPr>
        <w:tc>
          <w:tcPr>
            <w:tcW w:w="2302" w:type="dxa"/>
            <w:vAlign w:val="center"/>
          </w:tcPr>
          <w:p w14:paraId="1699C8A3" w14:textId="77777777" w:rsidR="00A031A6" w:rsidRDefault="00916FD0">
            <w:pPr>
              <w:rPr>
                <w:rFonts w:ascii="Arial" w:eastAsia="Arial" w:hAnsi="Arial" w:cs="Arial"/>
                <w:sz w:val="18"/>
                <w:szCs w:val="18"/>
              </w:rPr>
            </w:pPr>
            <w:r>
              <w:rPr>
                <w:rFonts w:ascii="Arial" w:eastAsia="Arial" w:hAnsi="Arial" w:cs="Arial"/>
                <w:sz w:val="18"/>
                <w:szCs w:val="18"/>
              </w:rPr>
              <w:t>Mini-micro hydro</w:t>
            </w:r>
          </w:p>
        </w:tc>
        <w:tc>
          <w:tcPr>
            <w:tcW w:w="2302" w:type="dxa"/>
            <w:vAlign w:val="center"/>
          </w:tcPr>
          <w:p w14:paraId="24B2D056" w14:textId="77777777" w:rsidR="00A031A6" w:rsidRDefault="00916FD0">
            <w:pPr>
              <w:jc w:val="center"/>
              <w:rPr>
                <w:rFonts w:ascii="Arial" w:eastAsia="Arial" w:hAnsi="Arial" w:cs="Arial"/>
                <w:sz w:val="18"/>
                <w:szCs w:val="18"/>
              </w:rPr>
            </w:pPr>
            <w:r>
              <w:rPr>
                <w:rFonts w:ascii="Arial" w:eastAsia="Arial" w:hAnsi="Arial" w:cs="Arial"/>
                <w:sz w:val="18"/>
                <w:szCs w:val="18"/>
              </w:rPr>
              <w:t>19,385 MW</w:t>
            </w:r>
          </w:p>
        </w:tc>
        <w:tc>
          <w:tcPr>
            <w:tcW w:w="2303" w:type="dxa"/>
            <w:vAlign w:val="center"/>
          </w:tcPr>
          <w:p w14:paraId="7AEF32C7" w14:textId="77777777" w:rsidR="00A031A6" w:rsidRDefault="00916FD0">
            <w:pPr>
              <w:jc w:val="center"/>
              <w:rPr>
                <w:rFonts w:ascii="Arial" w:eastAsia="Arial" w:hAnsi="Arial" w:cs="Arial"/>
                <w:sz w:val="18"/>
                <w:szCs w:val="18"/>
              </w:rPr>
            </w:pPr>
            <w:r>
              <w:rPr>
                <w:rFonts w:ascii="Arial" w:eastAsia="Arial" w:hAnsi="Arial" w:cs="Arial"/>
                <w:sz w:val="18"/>
                <w:szCs w:val="18"/>
              </w:rPr>
              <w:t>197.4 MW</w:t>
            </w:r>
          </w:p>
        </w:tc>
        <w:tc>
          <w:tcPr>
            <w:tcW w:w="2304" w:type="dxa"/>
            <w:vAlign w:val="center"/>
          </w:tcPr>
          <w:p w14:paraId="457BFDB2" w14:textId="77777777" w:rsidR="00A031A6" w:rsidRDefault="00916FD0">
            <w:pPr>
              <w:jc w:val="center"/>
              <w:rPr>
                <w:rFonts w:ascii="Arial" w:eastAsia="Arial" w:hAnsi="Arial" w:cs="Arial"/>
                <w:sz w:val="18"/>
                <w:szCs w:val="18"/>
              </w:rPr>
            </w:pPr>
            <w:r>
              <w:rPr>
                <w:rFonts w:ascii="Arial" w:eastAsia="Arial" w:hAnsi="Arial" w:cs="Arial"/>
                <w:sz w:val="18"/>
                <w:szCs w:val="18"/>
              </w:rPr>
              <w:t>1.0 per cent</w:t>
            </w:r>
          </w:p>
        </w:tc>
      </w:tr>
      <w:tr w:rsidR="00A031A6" w14:paraId="0DC32607" w14:textId="77777777">
        <w:trPr>
          <w:trHeight w:val="510"/>
        </w:trPr>
        <w:tc>
          <w:tcPr>
            <w:tcW w:w="2302" w:type="dxa"/>
            <w:vAlign w:val="center"/>
          </w:tcPr>
          <w:p w14:paraId="2FC20DB6" w14:textId="77777777" w:rsidR="00A031A6" w:rsidRDefault="00916FD0">
            <w:pPr>
              <w:rPr>
                <w:rFonts w:ascii="Arial" w:eastAsia="Arial" w:hAnsi="Arial" w:cs="Arial"/>
                <w:sz w:val="18"/>
                <w:szCs w:val="18"/>
              </w:rPr>
            </w:pPr>
            <w:r>
              <w:rPr>
                <w:rFonts w:ascii="Arial" w:eastAsia="Arial" w:hAnsi="Arial" w:cs="Arial"/>
                <w:sz w:val="18"/>
                <w:szCs w:val="18"/>
              </w:rPr>
              <w:t>Bio-energy</w:t>
            </w:r>
          </w:p>
        </w:tc>
        <w:tc>
          <w:tcPr>
            <w:tcW w:w="2302" w:type="dxa"/>
            <w:vAlign w:val="center"/>
          </w:tcPr>
          <w:p w14:paraId="4294CF37" w14:textId="77777777" w:rsidR="00A031A6" w:rsidRDefault="00916FD0">
            <w:pPr>
              <w:jc w:val="center"/>
              <w:rPr>
                <w:rFonts w:ascii="Arial" w:eastAsia="Arial" w:hAnsi="Arial" w:cs="Arial"/>
                <w:sz w:val="18"/>
                <w:szCs w:val="18"/>
              </w:rPr>
            </w:pPr>
            <w:r>
              <w:rPr>
                <w:rFonts w:ascii="Arial" w:eastAsia="Arial" w:hAnsi="Arial" w:cs="Arial"/>
                <w:sz w:val="18"/>
                <w:szCs w:val="18"/>
              </w:rPr>
              <w:t>32,654 MW</w:t>
            </w:r>
          </w:p>
        </w:tc>
        <w:tc>
          <w:tcPr>
            <w:tcW w:w="2303" w:type="dxa"/>
            <w:vAlign w:val="center"/>
          </w:tcPr>
          <w:p w14:paraId="61DE517D" w14:textId="77777777" w:rsidR="00A031A6" w:rsidRDefault="00916FD0">
            <w:pPr>
              <w:jc w:val="center"/>
              <w:rPr>
                <w:rFonts w:ascii="Arial" w:eastAsia="Arial" w:hAnsi="Arial" w:cs="Arial"/>
                <w:sz w:val="18"/>
                <w:szCs w:val="18"/>
              </w:rPr>
            </w:pPr>
            <w:r>
              <w:rPr>
                <w:rFonts w:ascii="Arial" w:eastAsia="Arial" w:hAnsi="Arial" w:cs="Arial"/>
                <w:sz w:val="18"/>
                <w:szCs w:val="18"/>
              </w:rPr>
              <w:t>1,671.0 MW</w:t>
            </w:r>
          </w:p>
        </w:tc>
        <w:tc>
          <w:tcPr>
            <w:tcW w:w="2304" w:type="dxa"/>
            <w:vAlign w:val="center"/>
          </w:tcPr>
          <w:p w14:paraId="28E90074" w14:textId="77777777" w:rsidR="00A031A6" w:rsidRDefault="00916FD0">
            <w:pPr>
              <w:jc w:val="center"/>
              <w:rPr>
                <w:rFonts w:ascii="Arial" w:eastAsia="Arial" w:hAnsi="Arial" w:cs="Arial"/>
                <w:sz w:val="18"/>
                <w:szCs w:val="18"/>
              </w:rPr>
            </w:pPr>
            <w:r>
              <w:rPr>
                <w:rFonts w:ascii="Arial" w:eastAsia="Arial" w:hAnsi="Arial" w:cs="Arial"/>
                <w:sz w:val="18"/>
                <w:szCs w:val="18"/>
              </w:rPr>
              <w:t>5.1 per cent</w:t>
            </w:r>
          </w:p>
        </w:tc>
      </w:tr>
      <w:tr w:rsidR="00A031A6" w14:paraId="1DB63CCA" w14:textId="77777777">
        <w:trPr>
          <w:trHeight w:val="510"/>
        </w:trPr>
        <w:tc>
          <w:tcPr>
            <w:tcW w:w="2302" w:type="dxa"/>
            <w:vAlign w:val="center"/>
          </w:tcPr>
          <w:p w14:paraId="1296A3C0" w14:textId="77777777" w:rsidR="00A031A6" w:rsidRDefault="00916FD0">
            <w:pPr>
              <w:rPr>
                <w:rFonts w:ascii="Arial" w:eastAsia="Arial" w:hAnsi="Arial" w:cs="Arial"/>
                <w:sz w:val="18"/>
                <w:szCs w:val="18"/>
              </w:rPr>
            </w:pPr>
            <w:r>
              <w:rPr>
                <w:rFonts w:ascii="Arial" w:eastAsia="Arial" w:hAnsi="Arial" w:cs="Arial"/>
                <w:sz w:val="18"/>
                <w:szCs w:val="18"/>
              </w:rPr>
              <w:t>Solar</w:t>
            </w:r>
          </w:p>
        </w:tc>
        <w:tc>
          <w:tcPr>
            <w:tcW w:w="2302" w:type="dxa"/>
            <w:vAlign w:val="center"/>
          </w:tcPr>
          <w:p w14:paraId="3814C1FC" w14:textId="77777777" w:rsidR="00A031A6" w:rsidRDefault="00916FD0">
            <w:pPr>
              <w:jc w:val="center"/>
              <w:rPr>
                <w:rFonts w:ascii="Arial" w:eastAsia="Arial" w:hAnsi="Arial" w:cs="Arial"/>
                <w:sz w:val="18"/>
                <w:szCs w:val="18"/>
              </w:rPr>
            </w:pPr>
            <w:r>
              <w:rPr>
                <w:rFonts w:ascii="Arial" w:eastAsia="Arial" w:hAnsi="Arial" w:cs="Arial"/>
                <w:sz w:val="18"/>
                <w:szCs w:val="18"/>
              </w:rPr>
              <w:t>207,898 MW</w:t>
            </w:r>
          </w:p>
        </w:tc>
        <w:tc>
          <w:tcPr>
            <w:tcW w:w="2303" w:type="dxa"/>
            <w:vAlign w:val="center"/>
          </w:tcPr>
          <w:p w14:paraId="0F62B418" w14:textId="77777777" w:rsidR="00A031A6" w:rsidRDefault="00916FD0">
            <w:pPr>
              <w:jc w:val="center"/>
              <w:rPr>
                <w:rFonts w:ascii="Arial" w:eastAsia="Arial" w:hAnsi="Arial" w:cs="Arial"/>
                <w:sz w:val="18"/>
                <w:szCs w:val="18"/>
              </w:rPr>
            </w:pPr>
            <w:r>
              <w:rPr>
                <w:rFonts w:ascii="Arial" w:eastAsia="Arial" w:hAnsi="Arial" w:cs="Arial"/>
                <w:sz w:val="18"/>
                <w:szCs w:val="18"/>
              </w:rPr>
              <w:t>78.5 MW</w:t>
            </w:r>
          </w:p>
        </w:tc>
        <w:tc>
          <w:tcPr>
            <w:tcW w:w="2304" w:type="dxa"/>
            <w:vAlign w:val="center"/>
          </w:tcPr>
          <w:p w14:paraId="58A3C480" w14:textId="77777777" w:rsidR="00A031A6" w:rsidRDefault="00916FD0">
            <w:pPr>
              <w:jc w:val="center"/>
              <w:rPr>
                <w:rFonts w:ascii="Arial" w:eastAsia="Arial" w:hAnsi="Arial" w:cs="Arial"/>
                <w:sz w:val="18"/>
                <w:szCs w:val="18"/>
              </w:rPr>
            </w:pPr>
            <w:r>
              <w:rPr>
                <w:rFonts w:ascii="Arial" w:eastAsia="Arial" w:hAnsi="Arial" w:cs="Arial"/>
                <w:sz w:val="18"/>
                <w:szCs w:val="18"/>
              </w:rPr>
              <w:t>0.04 per cent</w:t>
            </w:r>
          </w:p>
        </w:tc>
      </w:tr>
      <w:tr w:rsidR="00A031A6" w14:paraId="6E2FC7E1" w14:textId="77777777">
        <w:trPr>
          <w:trHeight w:val="510"/>
        </w:trPr>
        <w:tc>
          <w:tcPr>
            <w:tcW w:w="2302" w:type="dxa"/>
            <w:vAlign w:val="center"/>
          </w:tcPr>
          <w:p w14:paraId="7346E680" w14:textId="77777777" w:rsidR="00A031A6" w:rsidRDefault="00916FD0">
            <w:pPr>
              <w:rPr>
                <w:rFonts w:ascii="Arial" w:eastAsia="Arial" w:hAnsi="Arial" w:cs="Arial"/>
                <w:sz w:val="18"/>
                <w:szCs w:val="18"/>
              </w:rPr>
            </w:pPr>
            <w:r>
              <w:rPr>
                <w:rFonts w:ascii="Arial" w:eastAsia="Arial" w:hAnsi="Arial" w:cs="Arial"/>
                <w:sz w:val="18"/>
                <w:szCs w:val="18"/>
              </w:rPr>
              <w:t>Wind</w:t>
            </w:r>
          </w:p>
        </w:tc>
        <w:tc>
          <w:tcPr>
            <w:tcW w:w="2302" w:type="dxa"/>
            <w:vAlign w:val="center"/>
          </w:tcPr>
          <w:p w14:paraId="0205A388" w14:textId="77777777" w:rsidR="00A031A6" w:rsidRDefault="00916FD0">
            <w:pPr>
              <w:jc w:val="center"/>
              <w:rPr>
                <w:rFonts w:ascii="Arial" w:eastAsia="Arial" w:hAnsi="Arial" w:cs="Arial"/>
                <w:sz w:val="18"/>
                <w:szCs w:val="18"/>
              </w:rPr>
            </w:pPr>
            <w:r>
              <w:rPr>
                <w:rFonts w:ascii="Arial" w:eastAsia="Arial" w:hAnsi="Arial" w:cs="Arial"/>
                <w:sz w:val="18"/>
                <w:szCs w:val="18"/>
              </w:rPr>
              <w:t>60,647 MW</w:t>
            </w:r>
          </w:p>
        </w:tc>
        <w:tc>
          <w:tcPr>
            <w:tcW w:w="2303" w:type="dxa"/>
            <w:vAlign w:val="center"/>
          </w:tcPr>
          <w:p w14:paraId="2D5F4298" w14:textId="77777777" w:rsidR="00A031A6" w:rsidRDefault="00916FD0">
            <w:pPr>
              <w:jc w:val="center"/>
              <w:rPr>
                <w:rFonts w:ascii="Arial" w:eastAsia="Arial" w:hAnsi="Arial" w:cs="Arial"/>
                <w:sz w:val="18"/>
                <w:szCs w:val="18"/>
              </w:rPr>
            </w:pPr>
            <w:r>
              <w:rPr>
                <w:rFonts w:ascii="Arial" w:eastAsia="Arial" w:hAnsi="Arial" w:cs="Arial"/>
                <w:sz w:val="18"/>
                <w:szCs w:val="18"/>
              </w:rPr>
              <w:t>3.1 MW</w:t>
            </w:r>
          </w:p>
        </w:tc>
        <w:tc>
          <w:tcPr>
            <w:tcW w:w="2304" w:type="dxa"/>
            <w:vAlign w:val="center"/>
          </w:tcPr>
          <w:p w14:paraId="3A8A7ED0" w14:textId="77777777" w:rsidR="00A031A6" w:rsidRDefault="00916FD0">
            <w:pPr>
              <w:jc w:val="center"/>
              <w:rPr>
                <w:rFonts w:ascii="Arial" w:eastAsia="Arial" w:hAnsi="Arial" w:cs="Arial"/>
                <w:sz w:val="18"/>
                <w:szCs w:val="18"/>
              </w:rPr>
            </w:pPr>
            <w:r>
              <w:rPr>
                <w:rFonts w:ascii="Arial" w:eastAsia="Arial" w:hAnsi="Arial" w:cs="Arial"/>
                <w:sz w:val="18"/>
                <w:szCs w:val="18"/>
              </w:rPr>
              <w:t>0.01 per cent</w:t>
            </w:r>
          </w:p>
        </w:tc>
      </w:tr>
      <w:tr w:rsidR="00A031A6" w14:paraId="1882EEF6" w14:textId="77777777">
        <w:trPr>
          <w:trHeight w:val="510"/>
        </w:trPr>
        <w:tc>
          <w:tcPr>
            <w:tcW w:w="2302" w:type="dxa"/>
            <w:vAlign w:val="center"/>
          </w:tcPr>
          <w:p w14:paraId="3A13E62B" w14:textId="77777777" w:rsidR="00A031A6" w:rsidRDefault="00916FD0">
            <w:pPr>
              <w:rPr>
                <w:rFonts w:ascii="Arial" w:eastAsia="Arial" w:hAnsi="Arial" w:cs="Arial"/>
                <w:sz w:val="18"/>
                <w:szCs w:val="18"/>
              </w:rPr>
            </w:pPr>
            <w:r>
              <w:rPr>
                <w:rFonts w:ascii="Arial" w:eastAsia="Arial" w:hAnsi="Arial" w:cs="Arial"/>
                <w:sz w:val="18"/>
                <w:szCs w:val="18"/>
              </w:rPr>
              <w:t>Ocean energy</w:t>
            </w:r>
          </w:p>
        </w:tc>
        <w:tc>
          <w:tcPr>
            <w:tcW w:w="2302" w:type="dxa"/>
            <w:vAlign w:val="center"/>
          </w:tcPr>
          <w:p w14:paraId="2871DAF6" w14:textId="77777777" w:rsidR="00A031A6" w:rsidRDefault="00916FD0">
            <w:pPr>
              <w:jc w:val="center"/>
              <w:rPr>
                <w:rFonts w:ascii="Arial" w:eastAsia="Arial" w:hAnsi="Arial" w:cs="Arial"/>
                <w:sz w:val="18"/>
                <w:szCs w:val="18"/>
              </w:rPr>
            </w:pPr>
            <w:r>
              <w:rPr>
                <w:rFonts w:ascii="Arial" w:eastAsia="Arial" w:hAnsi="Arial" w:cs="Arial"/>
                <w:sz w:val="18"/>
                <w:szCs w:val="18"/>
              </w:rPr>
              <w:t>17,989 MW</w:t>
            </w:r>
          </w:p>
        </w:tc>
        <w:tc>
          <w:tcPr>
            <w:tcW w:w="2303" w:type="dxa"/>
            <w:vAlign w:val="center"/>
          </w:tcPr>
          <w:p w14:paraId="32E9D2F4" w14:textId="77777777" w:rsidR="00A031A6" w:rsidRDefault="00916FD0">
            <w:pPr>
              <w:jc w:val="center"/>
              <w:rPr>
                <w:rFonts w:ascii="Arial" w:eastAsia="Arial" w:hAnsi="Arial" w:cs="Arial"/>
                <w:sz w:val="18"/>
                <w:szCs w:val="18"/>
              </w:rPr>
            </w:pPr>
            <w:r>
              <w:rPr>
                <w:rFonts w:ascii="Arial" w:eastAsia="Arial" w:hAnsi="Arial" w:cs="Arial"/>
                <w:sz w:val="18"/>
                <w:szCs w:val="18"/>
              </w:rPr>
              <w:t>0.3 MW</w:t>
            </w:r>
          </w:p>
        </w:tc>
        <w:tc>
          <w:tcPr>
            <w:tcW w:w="2304" w:type="dxa"/>
            <w:vAlign w:val="center"/>
          </w:tcPr>
          <w:p w14:paraId="4F4EAE56" w14:textId="77777777" w:rsidR="00A031A6" w:rsidRDefault="00916FD0">
            <w:pPr>
              <w:jc w:val="center"/>
              <w:rPr>
                <w:rFonts w:ascii="Arial" w:eastAsia="Arial" w:hAnsi="Arial" w:cs="Arial"/>
                <w:sz w:val="18"/>
                <w:szCs w:val="18"/>
              </w:rPr>
            </w:pPr>
            <w:r>
              <w:rPr>
                <w:rFonts w:ascii="Arial" w:eastAsia="Arial" w:hAnsi="Arial" w:cs="Arial"/>
                <w:sz w:val="18"/>
                <w:szCs w:val="18"/>
              </w:rPr>
              <w:t>0.002 per cent</w:t>
            </w:r>
          </w:p>
        </w:tc>
      </w:tr>
    </w:tbl>
    <w:p w14:paraId="72162569" w14:textId="77777777" w:rsidR="00A031A6" w:rsidRDefault="00916FD0">
      <w:pPr>
        <w:spacing w:line="360" w:lineRule="auto"/>
        <w:jc w:val="both"/>
        <w:rPr>
          <w:rFonts w:ascii="Arial" w:eastAsia="Arial" w:hAnsi="Arial" w:cs="Arial"/>
          <w:sz w:val="18"/>
          <w:szCs w:val="18"/>
        </w:rPr>
      </w:pPr>
      <w:r>
        <w:rPr>
          <w:rFonts w:ascii="Arial" w:eastAsia="Arial" w:hAnsi="Arial" w:cs="Arial"/>
          <w:i/>
          <w:sz w:val="18"/>
          <w:szCs w:val="18"/>
        </w:rPr>
        <w:t>Source:</w:t>
      </w:r>
      <w:r>
        <w:rPr>
          <w:rFonts w:ascii="Arial" w:eastAsia="Arial" w:hAnsi="Arial" w:cs="Arial"/>
          <w:sz w:val="18"/>
          <w:szCs w:val="18"/>
        </w:rPr>
        <w:t xml:space="preserve"> RUPTL document (PLN, 2019).</w:t>
      </w:r>
    </w:p>
    <w:p w14:paraId="56A62960" w14:textId="77777777" w:rsidR="00A031A6" w:rsidRDefault="00916FD0">
      <w:pPr>
        <w:pStyle w:val="Heading2"/>
        <w:numPr>
          <w:ilvl w:val="1"/>
          <w:numId w:val="21"/>
        </w:numPr>
      </w:pPr>
      <w:bookmarkStart w:id="42" w:name="_Toc62221397"/>
      <w:r>
        <w:t>National energy balance</w:t>
      </w:r>
      <w:bookmarkEnd w:id="42"/>
    </w:p>
    <w:p w14:paraId="3F8E2802" w14:textId="77777777" w:rsidR="00A031A6" w:rsidRDefault="00916FD0">
      <w:pPr>
        <w:spacing w:line="360" w:lineRule="auto"/>
        <w:jc w:val="both"/>
        <w:rPr>
          <w:rFonts w:ascii="Arial" w:eastAsia="Arial" w:hAnsi="Arial" w:cs="Arial"/>
          <w:sz w:val="20"/>
          <w:szCs w:val="20"/>
        </w:rPr>
      </w:pPr>
      <w:bookmarkStart w:id="43" w:name="_2u6wntf" w:colFirst="0" w:colLast="0"/>
      <w:bookmarkEnd w:id="43"/>
      <w:r>
        <w:rPr>
          <w:rFonts w:ascii="Arial" w:eastAsia="Arial" w:hAnsi="Arial" w:cs="Arial"/>
          <w:sz w:val="20"/>
          <w:szCs w:val="20"/>
        </w:rPr>
        <w:t xml:space="preserve">The national energy balance of Indonesia 2018, as noted in the </w:t>
      </w:r>
      <w:r>
        <w:rPr>
          <w:rFonts w:ascii="Arial" w:eastAsia="Arial" w:hAnsi="Arial" w:cs="Arial"/>
          <w:i/>
          <w:sz w:val="20"/>
          <w:szCs w:val="20"/>
        </w:rPr>
        <w:t>Handbook of Energy and Economic Statistics of Indonesia</w:t>
      </w:r>
      <w:r>
        <w:rPr>
          <w:rFonts w:ascii="Arial" w:eastAsia="Arial" w:hAnsi="Arial" w:cs="Arial"/>
          <w:sz w:val="20"/>
          <w:szCs w:val="20"/>
        </w:rPr>
        <w:t xml:space="preserve">, is the starting point of the NEXSTEP analysis. The Total Primary Energy Supply (TPES) is dominated by oil, coal and natural gas, with renewables contributing only 13 per cent in 2018.figure 3) shows TPES of Indonesia is 1,533 million barrels of oil equivalent (MBOE). Indonesia’s TPES by fuel share: Crude oil and products (37 per cent); coal (32 per cent); natural gas and products (19 per cent); and renewables (13 per cent). </w:t>
      </w:r>
    </w:p>
    <w:p w14:paraId="4BA1B04A" w14:textId="6A65E385"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44" w:name="_19c6y18" w:colFirst="0" w:colLast="0"/>
      <w:bookmarkEnd w:id="44"/>
      <w:r>
        <w:rPr>
          <w:rFonts w:ascii="Arial" w:eastAsia="Arial" w:hAnsi="Arial" w:cs="Arial"/>
          <w:b/>
          <w:color w:val="000000"/>
          <w:sz w:val="20"/>
          <w:szCs w:val="20"/>
        </w:rPr>
        <w:lastRenderedPageBreak/>
        <w:t>Figure 3. Total Primary Energy Supply, 2018</w:t>
      </w:r>
    </w:p>
    <w:p w14:paraId="61D64D8A" w14:textId="0998FBC6" w:rsidR="009720B0" w:rsidRDefault="009720B0" w:rsidP="009720B0">
      <w:pPr>
        <w:keepNext/>
        <w:pBdr>
          <w:top w:val="nil"/>
          <w:left w:val="nil"/>
          <w:bottom w:val="nil"/>
          <w:right w:val="nil"/>
          <w:between w:val="nil"/>
        </w:pBdr>
        <w:spacing w:after="120" w:line="240" w:lineRule="auto"/>
        <w:jc w:val="center"/>
        <w:rPr>
          <w:rFonts w:ascii="Arial" w:eastAsia="Arial" w:hAnsi="Arial" w:cs="Arial"/>
          <w:b/>
          <w:color w:val="000000"/>
          <w:sz w:val="20"/>
          <w:szCs w:val="20"/>
        </w:rPr>
      </w:pPr>
      <w:r w:rsidRPr="009720B0">
        <w:rPr>
          <w:rFonts w:ascii="Arial" w:eastAsia="Arial" w:hAnsi="Arial" w:cs="Arial"/>
          <w:b/>
          <w:noProof/>
          <w:color w:val="000000"/>
          <w:sz w:val="20"/>
          <w:szCs w:val="20"/>
        </w:rPr>
        <w:drawing>
          <wp:inline distT="0" distB="0" distL="0" distR="0" wp14:anchorId="4CFF832A" wp14:editId="44AD5F24">
            <wp:extent cx="5292123" cy="2049774"/>
            <wp:effectExtent l="0" t="0" r="381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6544" cy="2051487"/>
                    </a:xfrm>
                    <a:prstGeom prst="rect">
                      <a:avLst/>
                    </a:prstGeom>
                  </pic:spPr>
                </pic:pic>
              </a:graphicData>
            </a:graphic>
          </wp:inline>
        </w:drawing>
      </w:r>
    </w:p>
    <w:p w14:paraId="14F4DF60" w14:textId="11CFC283" w:rsidR="00A031A6" w:rsidRDefault="00A031A6"/>
    <w:p w14:paraId="112A2D3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the largest energy consumer in South-East Asia. TFEC in 2018 is reported as 936.33 MBOE (figure 4). TFEC in Indonesia increased by 38 per cent between 2000 and 2016. The largest increase was in the transport sector, which more than doubled during that period. Indonesia’s final energy consumption, by sector, is led by transport (40.8%, 39.2 MBOE), industry (34.7%, 33.4 MBOE), households (15.7%, 15.1 MBOE), commercial (4.5%, 4.3 MBOE) and other sectors (1.7%, 1.6 MBOE).</w:t>
      </w:r>
    </w:p>
    <w:p w14:paraId="1A152119"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45" w:name="_3tbugp1" w:colFirst="0" w:colLast="0"/>
      <w:bookmarkEnd w:id="45"/>
      <w:r>
        <w:rPr>
          <w:rFonts w:ascii="Arial" w:eastAsia="Arial" w:hAnsi="Arial" w:cs="Arial"/>
          <w:b/>
          <w:color w:val="000000"/>
          <w:sz w:val="20"/>
          <w:szCs w:val="20"/>
        </w:rPr>
        <w:t>Figure 4. Total Final Energy Consumption, 2018</w:t>
      </w:r>
    </w:p>
    <w:p w14:paraId="37A38391" w14:textId="6AE14736" w:rsidR="00A031A6" w:rsidRDefault="009720B0" w:rsidP="009720B0">
      <w:pPr>
        <w:jc w:val="center"/>
      </w:pPr>
      <w:r w:rsidRPr="009720B0">
        <w:rPr>
          <w:noProof/>
        </w:rPr>
        <w:drawing>
          <wp:inline distT="0" distB="0" distL="0" distR="0" wp14:anchorId="5F75C72B" wp14:editId="5AAEBC51">
            <wp:extent cx="5042395" cy="2034052"/>
            <wp:effectExtent l="0" t="0" r="635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602" cy="2038573"/>
                    </a:xfrm>
                    <a:prstGeom prst="rect">
                      <a:avLst/>
                    </a:prstGeom>
                  </pic:spPr>
                </pic:pic>
              </a:graphicData>
            </a:graphic>
          </wp:inline>
        </w:drawing>
      </w:r>
    </w:p>
    <w:p w14:paraId="16FB1018" w14:textId="77777777" w:rsidR="00A031A6" w:rsidRDefault="00916FD0">
      <w:pPr>
        <w:pStyle w:val="Heading2"/>
        <w:numPr>
          <w:ilvl w:val="1"/>
          <w:numId w:val="21"/>
        </w:numPr>
      </w:pPr>
      <w:bookmarkStart w:id="46" w:name="_Toc62221398"/>
      <w:r>
        <w:t>Energy Demand Outlook</w:t>
      </w:r>
      <w:bookmarkEnd w:id="46"/>
    </w:p>
    <w:p w14:paraId="38A527F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energy demand is calculated using the activity level and energy intensity in the LEAP model. Indonesia’s energy demand outlook for 2020 - 2030 is influenced by population growth data from Statistics Indonesia (see Annex II: Key assumptions), GDP growth of 5.7 per cent annually and energy elasticity for each sector. The annual average growth rate for the total final energy demand in the BAU and current policy scenarios is 4.5 per cent, whereas the growth rate is reduced to 3.6 per cent in the SDG scenario.  </w:t>
      </w:r>
    </w:p>
    <w:p w14:paraId="32FAC788" w14:textId="77777777" w:rsidR="00A031A6" w:rsidRDefault="00916FD0">
      <w:pPr>
        <w:pStyle w:val="Heading3"/>
        <w:numPr>
          <w:ilvl w:val="2"/>
          <w:numId w:val="21"/>
        </w:numPr>
        <w:ind w:left="504"/>
      </w:pPr>
      <w:r>
        <w:t xml:space="preserve"> </w:t>
      </w:r>
      <w:bookmarkStart w:id="47" w:name="_Toc62221399"/>
      <w:r>
        <w:t>Business as usual scenario</w:t>
      </w:r>
      <w:bookmarkEnd w:id="47"/>
    </w:p>
    <w:p w14:paraId="59C58AF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business as usual scenario, TFEC is expected to increase from 1,055 MBOE in 2020 to 1,624 MBOE in 2030. The current fuel mix in the energy system is expected to continue to 2030 in the absence </w:t>
      </w:r>
      <w:r>
        <w:rPr>
          <w:rFonts w:ascii="Arial" w:eastAsia="Arial" w:hAnsi="Arial" w:cs="Arial"/>
          <w:sz w:val="20"/>
          <w:szCs w:val="20"/>
        </w:rPr>
        <w:lastRenderedPageBreak/>
        <w:t xml:space="preserve">of any major intervention. In 2030, the industry sector will have the largest share of TFEC at 663 MBOE (41 per cent), followed by the transport sector at 584 MBOE (36 per cent), residential at 223 MBOE (14 per cent), commercial at 92 MBOE (6 per cent), other sectors at 25 MBOE (2 per cent) and non-energy use at 36 MBOE (2 per cent). </w:t>
      </w:r>
    </w:p>
    <w:p w14:paraId="0A71086A" w14:textId="77777777" w:rsidR="00A031A6" w:rsidRDefault="00916FD0">
      <w:pPr>
        <w:pStyle w:val="Heading3"/>
        <w:numPr>
          <w:ilvl w:val="2"/>
          <w:numId w:val="21"/>
        </w:numPr>
        <w:ind w:left="588"/>
      </w:pPr>
      <w:bookmarkStart w:id="48" w:name="_Toc62221400"/>
      <w:r>
        <w:t>Current policy scenario</w:t>
      </w:r>
      <w:bookmarkEnd w:id="48"/>
    </w:p>
    <w:p w14:paraId="2D5C867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current policy scenario, TFEC is also expected to see similar growth – increasing from 1,054 MBOE in 2020 to 1,620 MBOE in 2030 (Figure 5). The sectoral shares; industry 663 MBOE (41 per cent), transport 583 MBOE (36 per cent), residential sector 221 MBOE (14 per cent), commercial sector  92 MBOE (6 per cent), other sectors 25 MBOE (2 per cent) and non-energy use 36 MBOE (2 per cent). The sectoral overview of energy demand in the current policy scenario is discussed below.</w:t>
      </w:r>
    </w:p>
    <w:p w14:paraId="519ECF9B" w14:textId="77777777" w:rsidR="00A031A6" w:rsidRDefault="00916FD0">
      <w:pPr>
        <w:keepNext/>
        <w:pBdr>
          <w:top w:val="nil"/>
          <w:left w:val="nil"/>
          <w:bottom w:val="nil"/>
          <w:right w:val="nil"/>
          <w:between w:val="nil"/>
        </w:pBdr>
        <w:spacing w:after="120" w:line="240" w:lineRule="auto"/>
        <w:jc w:val="center"/>
        <w:rPr>
          <w:i/>
          <w:color w:val="44546A"/>
          <w:sz w:val="18"/>
          <w:szCs w:val="18"/>
        </w:rPr>
      </w:pPr>
      <w:bookmarkStart w:id="49" w:name="_1mrcu09" w:colFirst="0" w:colLast="0"/>
      <w:bookmarkEnd w:id="49"/>
      <w:r>
        <w:rPr>
          <w:rFonts w:ascii="Arial" w:eastAsia="Arial" w:hAnsi="Arial" w:cs="Arial"/>
          <w:b/>
          <w:color w:val="000000"/>
          <w:sz w:val="20"/>
          <w:szCs w:val="20"/>
        </w:rPr>
        <w:t>Figure 5 Indonesia’s</w:t>
      </w:r>
      <w:r>
        <w:rPr>
          <w:i/>
          <w:color w:val="44546A"/>
          <w:sz w:val="18"/>
          <w:szCs w:val="18"/>
        </w:rPr>
        <w:t xml:space="preserve"> </w:t>
      </w:r>
      <w:r>
        <w:rPr>
          <w:rFonts w:ascii="Arial" w:eastAsia="Arial" w:hAnsi="Arial" w:cs="Arial"/>
          <w:b/>
          <w:color w:val="000000"/>
          <w:sz w:val="20"/>
          <w:szCs w:val="20"/>
        </w:rPr>
        <w:t>energy demand outlook, 2020 - 2030</w:t>
      </w:r>
    </w:p>
    <w:p w14:paraId="548F4161" w14:textId="77777777" w:rsidR="00A031A6" w:rsidRDefault="00916FD0">
      <w:pPr>
        <w:keepNext/>
        <w:spacing w:line="360" w:lineRule="auto"/>
        <w:jc w:val="both"/>
      </w:pPr>
      <w:r>
        <w:rPr>
          <w:noProof/>
        </w:rPr>
        <w:drawing>
          <wp:inline distT="0" distB="0" distL="0" distR="0" wp14:anchorId="5E2988B3" wp14:editId="7A6E2C77">
            <wp:extent cx="5760000" cy="2520000"/>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5760000" cy="2520000"/>
                    </a:xfrm>
                    <a:prstGeom prst="rect">
                      <a:avLst/>
                    </a:prstGeom>
                    <a:ln/>
                  </pic:spPr>
                </pic:pic>
              </a:graphicData>
            </a:graphic>
          </wp:inline>
        </w:drawing>
      </w:r>
    </w:p>
    <w:p w14:paraId="16CBF870" w14:textId="77777777" w:rsidR="00A031A6" w:rsidRDefault="00916FD0">
      <w:pPr>
        <w:pStyle w:val="Heading4"/>
        <w:numPr>
          <w:ilvl w:val="0"/>
          <w:numId w:val="28"/>
        </w:numPr>
        <w:spacing w:line="360" w:lineRule="auto"/>
        <w:ind w:left="284"/>
        <w:jc w:val="both"/>
      </w:pPr>
      <w:bookmarkStart w:id="50" w:name="_Toc62221401"/>
      <w:r>
        <w:t>Industry sector</w:t>
      </w:r>
      <w:bookmarkEnd w:id="50"/>
    </w:p>
    <w:p w14:paraId="2A069E21" w14:textId="77777777"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Energy demand in the industrial sector will double from 334 MBOE in 2018 to 663 MBOE in 2030. The subsector shares of industrial energy consumption in 2030 will be: fertilizer, chemical, and rubber products, 139.4 MBOE (21 per cent); cement and non-ferro materials, 132.7 MBOE (20 per cent); food and beverages, 119.5 MBOE (18 per cent); textiles and leather, 79.6 MBOE (12 per cent); pulp and paper, 59.1 MBOE (9 per cent); machinery and transportation tools, 59.7 MBOE (9 per cent); iron and steel ,53.1 MBOE (8 per cent); wood and other products, 13.3 MBOE (2 per cent); and other industries, 6.6 MBOE (1 per cent).</w:t>
      </w:r>
    </w:p>
    <w:p w14:paraId="5AED2FBA" w14:textId="77777777" w:rsidR="00A031A6" w:rsidRDefault="00916FD0">
      <w:pPr>
        <w:pStyle w:val="Heading4"/>
        <w:numPr>
          <w:ilvl w:val="0"/>
          <w:numId w:val="28"/>
        </w:numPr>
        <w:spacing w:line="360" w:lineRule="auto"/>
        <w:ind w:left="284"/>
        <w:jc w:val="both"/>
      </w:pPr>
      <w:bookmarkStart w:id="51" w:name="_Toc62221402"/>
      <w:r>
        <w:t>Transport</w:t>
      </w:r>
      <w:bookmarkEnd w:id="51"/>
    </w:p>
    <w:p w14:paraId="584CE74F" w14:textId="77777777"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The transport sector’s energy demand is projected to increase to 583 MBOE by 2030, compared with 391 MBOE in 2018.  In 2030, the subsector share of transport energy demand will be: road transport 482 MBOE (83 per cent); aviation 65 MBOE (11 per cent); marine 31 MBOE (5 per cent); and rail 4 MBOE (1 per cent).</w:t>
      </w:r>
    </w:p>
    <w:p w14:paraId="19529B64" w14:textId="77777777" w:rsidR="00A031A6" w:rsidRDefault="00916FD0">
      <w:pPr>
        <w:pStyle w:val="Heading4"/>
        <w:numPr>
          <w:ilvl w:val="0"/>
          <w:numId w:val="28"/>
        </w:numPr>
        <w:spacing w:line="360" w:lineRule="auto"/>
        <w:ind w:left="284"/>
        <w:jc w:val="both"/>
      </w:pPr>
      <w:bookmarkStart w:id="52" w:name="_Toc62221403"/>
      <w:r>
        <w:lastRenderedPageBreak/>
        <w:t>Residential</w:t>
      </w:r>
      <w:bookmarkEnd w:id="52"/>
    </w:p>
    <w:p w14:paraId="11200F11" w14:textId="77777777"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The residential sector’s demand in Indonesia is projected to increase to 221 MBOE by 2030, compared with 151 MBOE in 2018. In 2030, the subsector share of residential energy demand will be urban, 165 MBOE (74 per cent), and rural, 56 MBOE (24 per cent). The residential sector energy demand outlook is influenced by increased urbanization to 63.4 per cent by 2030, compared with 55.3 per cent in 2018, increased ownership of household appliances calculated by stock-turnover analysis and an increase in population to 294 million by 2030.</w:t>
      </w:r>
    </w:p>
    <w:p w14:paraId="15EEBA72" w14:textId="77777777" w:rsidR="00A031A6" w:rsidRDefault="00916FD0">
      <w:pPr>
        <w:pStyle w:val="Heading4"/>
        <w:numPr>
          <w:ilvl w:val="0"/>
          <w:numId w:val="28"/>
        </w:numPr>
        <w:spacing w:line="360" w:lineRule="auto"/>
        <w:ind w:left="284"/>
        <w:jc w:val="both"/>
      </w:pPr>
      <w:bookmarkStart w:id="53" w:name="_Toc62221404"/>
      <w:r>
        <w:t>Commercial</w:t>
      </w:r>
      <w:bookmarkEnd w:id="53"/>
    </w:p>
    <w:p w14:paraId="027374E5" w14:textId="77777777" w:rsidR="00A031A6" w:rsidRDefault="00916FD0">
      <w:pPr>
        <w:spacing w:line="360" w:lineRule="auto"/>
        <w:jc w:val="both"/>
        <w:rPr>
          <w:rFonts w:ascii="Arial" w:eastAsia="Arial" w:hAnsi="Arial" w:cs="Arial"/>
          <w:i/>
          <w:sz w:val="20"/>
          <w:szCs w:val="20"/>
        </w:rPr>
      </w:pPr>
      <w:r>
        <w:rPr>
          <w:rFonts w:ascii="Arial" w:eastAsia="Arial" w:hAnsi="Arial" w:cs="Arial"/>
          <w:sz w:val="20"/>
          <w:szCs w:val="20"/>
        </w:rPr>
        <w:t xml:space="preserve">The commercial sector energy demand is projected to increase from 43 MBOE in 2018 to 92 MBOE in 2030. The sector is divided into government buildings and private buildings. In 2030, the subsector share of commercial energy demand will be private buildings 79 MBOE (86 per cent) and government buildings 13 MBOE (14 per cent). The commercial sector analysis is based on floor space occupied by the sector and the energy intensity per square metre. </w:t>
      </w:r>
    </w:p>
    <w:p w14:paraId="225821A0" w14:textId="77777777" w:rsidR="00A031A6" w:rsidRDefault="00916FD0">
      <w:pPr>
        <w:pStyle w:val="Heading4"/>
        <w:numPr>
          <w:ilvl w:val="0"/>
          <w:numId w:val="28"/>
        </w:numPr>
        <w:spacing w:line="360" w:lineRule="auto"/>
        <w:ind w:left="284"/>
        <w:jc w:val="both"/>
      </w:pPr>
      <w:bookmarkStart w:id="54" w:name="_Toc62221405"/>
      <w:r>
        <w:t>Other</w:t>
      </w:r>
      <w:bookmarkEnd w:id="54"/>
    </w:p>
    <w:p w14:paraId="2A0EC5F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other sector energy demand is projected to increase to 25 MBOE by 2030, compared with 16 MBOE in 2018. The forecast for other sector energy consumption is based on the data from the </w:t>
      </w:r>
      <w:r>
        <w:rPr>
          <w:rFonts w:ascii="Arial" w:eastAsia="Arial" w:hAnsi="Arial" w:cs="Arial"/>
          <w:i/>
          <w:sz w:val="20"/>
          <w:szCs w:val="20"/>
        </w:rPr>
        <w:t>Handbook of Energy and Economics</w:t>
      </w:r>
      <w:r>
        <w:rPr>
          <w:rFonts w:ascii="Arial" w:eastAsia="Arial" w:hAnsi="Arial" w:cs="Arial"/>
          <w:sz w:val="20"/>
          <w:szCs w:val="20"/>
        </w:rPr>
        <w:t>.</w:t>
      </w:r>
    </w:p>
    <w:p w14:paraId="13CCEF6B" w14:textId="77777777" w:rsidR="00A031A6" w:rsidRDefault="00916FD0">
      <w:pPr>
        <w:pStyle w:val="Heading2"/>
        <w:numPr>
          <w:ilvl w:val="1"/>
          <w:numId w:val="21"/>
        </w:numPr>
      </w:pPr>
      <w:bookmarkStart w:id="55" w:name="_Toc62221406"/>
      <w:r>
        <w:t>Electric Power Generation Outlook</w:t>
      </w:r>
      <w:bookmarkEnd w:id="55"/>
    </w:p>
    <w:p w14:paraId="3809A42D"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installed electric power generation capacity in 2018 was reported as 64,924 MW of which 62,255 MW is on-grid and 2,668 MW is off-grid electric power generation. In 2018, the installed on-grid power plant capacity for Indonesia; Steam PP 31,587 MW, followed by Combined Cycle Gas Turbine (CCGT) PP 11,220 MW, Gas PP 5,348 MW, Diesel PP 4,630 MW, Hydro PP 4,431 MW, Gas Engine PP 2,357 MW, Geothermal PP 1,948 MW, Mini Hydro PP 268 MW, Wind PP 143 MW, Biomass PP 142 MW, Micro Hydro 98 MW, Solar 24 MW and Waste PP 15 MW.</w:t>
      </w:r>
    </w:p>
    <w:p w14:paraId="64EC370D" w14:textId="77777777" w:rsidR="00A031A6" w:rsidRDefault="00916FD0">
      <w:pPr>
        <w:pStyle w:val="Heading3"/>
        <w:numPr>
          <w:ilvl w:val="2"/>
          <w:numId w:val="21"/>
        </w:numPr>
        <w:ind w:left="504"/>
      </w:pPr>
      <w:bookmarkStart w:id="56" w:name="_Toc62221407"/>
      <w:r>
        <w:t>Business as usual scenario</w:t>
      </w:r>
      <w:bookmarkEnd w:id="56"/>
    </w:p>
    <w:p w14:paraId="5508CC5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business-as-usual scenario essentially forecasts if no-action is taken and the system continues to expand based on the 2018 fuel share till 2030. In 2030, the installed on-grid power generation for Indonesia is forecasted as 135 GW. In 2030, the fossil fuel share will dominate electric supply at 89 per cent, with renewables contributing only 11 per cent of installed capacity. </w:t>
      </w:r>
    </w:p>
    <w:p w14:paraId="4D94A8B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installed capacity by technology: Steam PP 68,781 MW, CCGT PP 24,431 MW, Gas PP 11,646 MW, Diesel 10,083 MW, Hydro PP 9,649 MW, Gas Engine PP 5,133 MW, Geothermal PP 4,242 MW, Mini Hydro PP 583 MW, Biomass PP 343 MW, Wind PP 311 MW, Micro Hydro PP 214 MW, Biogas PP 88 MW and Solar PP 53 MW.</w:t>
      </w:r>
    </w:p>
    <w:p w14:paraId="5B1905F0" w14:textId="77777777" w:rsidR="00A031A6" w:rsidRDefault="00916FD0">
      <w:pPr>
        <w:pStyle w:val="Heading3"/>
        <w:numPr>
          <w:ilvl w:val="2"/>
          <w:numId w:val="21"/>
        </w:numPr>
        <w:ind w:left="588"/>
      </w:pPr>
      <w:bookmarkStart w:id="57" w:name="_Toc62221408"/>
      <w:r>
        <w:t>Current policy scenario</w:t>
      </w:r>
      <w:bookmarkEnd w:id="57"/>
    </w:p>
    <w:p w14:paraId="6A05AE6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The NEXSTEP analysis for Indonesia uses data from the RUPTL 2019 – 2028 to model the current policy scenario for electric power generation outlook. In this scenario, an additional 27 GW coal-based power plant will be added to the power sector by 2028 (Annex IX), making the power generation highly carbon intensive. In 2030, the installed on-grid power generation for Indonesia is forecasted as 135 GW (Figure 6). In 2030, the fossil fuel share will continue to dominate electric supply at 81 per cent and renewables share increases to 19 per cent of the installed capacity.</w:t>
      </w:r>
    </w:p>
    <w:p w14:paraId="770002D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installed capacity by technology: Steam PP 67,020 MW, CCGT PP 23,268 MW, Hydro PP 13,858 MW, Gas PP 9,562 MW, Geothermal PP 8,136 MW, Diesel 4,864 MW, Gas Engine PP 2,358 MW, Micro Hydro PP 2,212 MW, Wind PP 1,416 MW, Solar PP 1,288 MW, Biomass PP 1,265 MW, Mini Hydro PP 268 MW, Biogas PP 40 MW and Marine Energy PP 7 MW.</w:t>
      </w:r>
    </w:p>
    <w:p w14:paraId="567B2F54" w14:textId="77777777" w:rsidR="00A031A6" w:rsidRDefault="00916FD0">
      <w:pPr>
        <w:keepNext/>
        <w:pBdr>
          <w:top w:val="nil"/>
          <w:left w:val="nil"/>
          <w:bottom w:val="nil"/>
          <w:right w:val="nil"/>
          <w:between w:val="nil"/>
        </w:pBdr>
        <w:spacing w:after="120" w:line="240" w:lineRule="auto"/>
        <w:jc w:val="center"/>
        <w:rPr>
          <w:rFonts w:ascii="Arial" w:eastAsia="Arial" w:hAnsi="Arial" w:cs="Arial"/>
          <w:i/>
          <w:color w:val="44546A"/>
          <w:sz w:val="20"/>
          <w:szCs w:val="20"/>
        </w:rPr>
      </w:pPr>
      <w:bookmarkStart w:id="58" w:name="_3ygebqi" w:colFirst="0" w:colLast="0"/>
      <w:bookmarkEnd w:id="58"/>
      <w:r>
        <w:rPr>
          <w:rFonts w:ascii="Arial" w:eastAsia="Arial" w:hAnsi="Arial" w:cs="Arial"/>
          <w:b/>
          <w:color w:val="000000"/>
          <w:sz w:val="20"/>
          <w:szCs w:val="20"/>
        </w:rPr>
        <w:t>Figure 6 Indonesia installed capacity expansion, 2020 - 2030</w:t>
      </w:r>
    </w:p>
    <w:p w14:paraId="4ED38F58" w14:textId="77777777" w:rsidR="00A031A6" w:rsidRDefault="00916FD0">
      <w:pPr>
        <w:keepNext/>
        <w:spacing w:line="360" w:lineRule="auto"/>
        <w:jc w:val="both"/>
      </w:pPr>
      <w:r>
        <w:rPr>
          <w:noProof/>
        </w:rPr>
        <w:drawing>
          <wp:inline distT="0" distB="0" distL="0" distR="0" wp14:anchorId="6FACD194" wp14:editId="53F120D0">
            <wp:extent cx="5760000" cy="2880000"/>
            <wp:effectExtent l="0" t="0" r="0" b="0"/>
            <wp:docPr id="5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5760000" cy="2880000"/>
                    </a:xfrm>
                    <a:prstGeom prst="rect">
                      <a:avLst/>
                    </a:prstGeom>
                    <a:ln/>
                  </pic:spPr>
                </pic:pic>
              </a:graphicData>
            </a:graphic>
          </wp:inline>
        </w:drawing>
      </w:r>
    </w:p>
    <w:p w14:paraId="252EF70A" w14:textId="77777777" w:rsidR="00A031A6" w:rsidRDefault="00916FD0">
      <w:pPr>
        <w:pStyle w:val="Heading2"/>
        <w:numPr>
          <w:ilvl w:val="1"/>
          <w:numId w:val="21"/>
        </w:numPr>
      </w:pPr>
      <w:bookmarkStart w:id="59" w:name="_Toc62221409"/>
      <w:r>
        <w:t>Energy Supply Outlook</w:t>
      </w:r>
      <w:bookmarkEnd w:id="59"/>
    </w:p>
    <w:p w14:paraId="15C80CD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Energy Supply Outlook for Indonesia in the period 2020 - 2030 is based on national energy resource constraints, which specify the resources available domestically and the resources which need to be imported. In the LEAP model, the national base year reserves for fossil-fuel resources and the annual yield from renewable energy resources in modelled as constraint. </w:t>
      </w:r>
    </w:p>
    <w:p w14:paraId="36A104D2" w14:textId="77777777" w:rsidR="00A031A6" w:rsidRDefault="00916FD0">
      <w:pPr>
        <w:pStyle w:val="Heading3"/>
        <w:numPr>
          <w:ilvl w:val="2"/>
          <w:numId w:val="21"/>
        </w:numPr>
        <w:ind w:left="504"/>
      </w:pPr>
      <w:bookmarkStart w:id="60" w:name="_Toc62221410"/>
      <w:r>
        <w:t>Business as usual scenario</w:t>
      </w:r>
      <w:bookmarkEnd w:id="60"/>
    </w:p>
    <w:p w14:paraId="5A42C40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business as usual scenario, the Total Primary Energy Supply (TPES) is forecasted to increase from 1,620 MBOE in 2020 to 2,492 MBOE in 2030. The fuel shares in 2030 is forecasted as: coal 714 MBOE, natural gas 589 MBOE, oil products 559 MBOE, crude oil 341 MBOE, biomass 129 MBOE, hydropower 66 MBOE, biofuel 46 MBOE, electricity 1 MBOE and other renewables 55 MBOE. </w:t>
      </w:r>
    </w:p>
    <w:p w14:paraId="4E673548" w14:textId="77777777" w:rsidR="00A031A6" w:rsidRDefault="00916FD0">
      <w:pPr>
        <w:pStyle w:val="Heading3"/>
        <w:numPr>
          <w:ilvl w:val="2"/>
          <w:numId w:val="21"/>
        </w:numPr>
        <w:ind w:left="588"/>
      </w:pPr>
      <w:bookmarkStart w:id="61" w:name="_Toc62221411"/>
      <w:r>
        <w:t>Current policy scenario</w:t>
      </w:r>
      <w:bookmarkEnd w:id="61"/>
    </w:p>
    <w:p w14:paraId="6873E4D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 xml:space="preserve">In the current policy scenario, the TPES is forecasted to increase from 1,620 MBOE in 2020 to 2,505 MBOE in 2030. The fuel shares in 2030 (Figure 7) is projected as: coal 715 MBOE (29 per cent), natural gas 551 MBOE (22 per cent), oil products 455 MBOE (18 per cent), crude oil 341 MBOE (14 per cent), biomass 122 MBOE (5 per cent), hydropower 106 MBOE (4 per cent), biofuel 67 MBOE (3 per cent), electricity 1 MBOE (0.04 per cent) and other renewables 142 MBOE (6 per cent). </w:t>
      </w:r>
    </w:p>
    <w:p w14:paraId="411F1C91"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62" w:name="_1rvwp1q" w:colFirst="0" w:colLast="0"/>
      <w:bookmarkEnd w:id="62"/>
      <w:r>
        <w:rPr>
          <w:rFonts w:ascii="Arial" w:eastAsia="Arial" w:hAnsi="Arial" w:cs="Arial"/>
          <w:b/>
          <w:color w:val="000000"/>
          <w:sz w:val="20"/>
          <w:szCs w:val="20"/>
        </w:rPr>
        <w:t>Figure 7 Indonesia primary energy supply, by fuel share</w:t>
      </w:r>
    </w:p>
    <w:p w14:paraId="6197C84E" w14:textId="77777777" w:rsidR="00A031A6" w:rsidRDefault="00916FD0">
      <w:pPr>
        <w:keepNext/>
        <w:spacing w:line="360" w:lineRule="auto"/>
        <w:jc w:val="both"/>
      </w:pPr>
      <w:r>
        <w:rPr>
          <w:noProof/>
        </w:rPr>
        <w:drawing>
          <wp:inline distT="0" distB="0" distL="0" distR="0" wp14:anchorId="6484A3C0" wp14:editId="4F8AF4EF">
            <wp:extent cx="5760000" cy="2520000"/>
            <wp:effectExtent l="0" t="0" r="0" b="0"/>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srcRect/>
                    <a:stretch>
                      <a:fillRect/>
                    </a:stretch>
                  </pic:blipFill>
                  <pic:spPr>
                    <a:xfrm>
                      <a:off x="0" y="0"/>
                      <a:ext cx="5760000" cy="2520000"/>
                    </a:xfrm>
                    <a:prstGeom prst="rect">
                      <a:avLst/>
                    </a:prstGeom>
                    <a:ln/>
                  </pic:spPr>
                </pic:pic>
              </a:graphicData>
            </a:graphic>
          </wp:inline>
        </w:drawing>
      </w:r>
    </w:p>
    <w:p w14:paraId="16EC4C2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national energy supply priorities are included in the calculations with domestic demand for coal increasing from 385 MBOE in 2020 to 715 MBOE in 2030 to meet the additional demand in electric power generation and industrial consumption. The national priority of increasing biofuel consumption to reduce oil imports leads to an increase in biofuel consumption from 24 MBOE in 2018 to 67 MBOE in 2030 (if current biodiesel and bioethanol blending targets are fully implemented by 2030).</w:t>
      </w:r>
    </w:p>
    <w:p w14:paraId="02332D2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national renewable energy target of 23 per cent by 2025 in TPES will not be achieved based on current policies even if they are fully implemented, reaching 17 per cent in 2025 and 18 per cent in 2030. Indonesia’s plan to increase biofuels will increase renewable energy share but at the same time this progress will be lost due to the replacement of traditional biomass stoves by LPG cook stoves. In the SDG scenario discussed in the next chapter, Indonesia will be able to meet renewable energy target achieving 30 per cent by 2025 and 32 per cent by 2030 in TPES.</w:t>
      </w:r>
    </w:p>
    <w:p w14:paraId="0057B345" w14:textId="77777777" w:rsidR="00A031A6" w:rsidRDefault="00916FD0">
      <w:pPr>
        <w:pStyle w:val="Heading2"/>
        <w:numPr>
          <w:ilvl w:val="1"/>
          <w:numId w:val="21"/>
        </w:numPr>
      </w:pPr>
      <w:bookmarkStart w:id="63" w:name="_Toc62221412"/>
      <w:r>
        <w:t>Energy Sector Emissions Outlook</w:t>
      </w:r>
      <w:bookmarkEnd w:id="63"/>
    </w:p>
    <w:p w14:paraId="3F8514D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energy sector emissions for Indonesia is calculated based on IPCC Tier 1 emission factors assigned in the LEAP model wherever fuel is being combusted. </w:t>
      </w:r>
    </w:p>
    <w:p w14:paraId="6F7D6479" w14:textId="77777777" w:rsidR="00A031A6" w:rsidRDefault="00916FD0">
      <w:pPr>
        <w:pStyle w:val="Heading3"/>
        <w:numPr>
          <w:ilvl w:val="2"/>
          <w:numId w:val="21"/>
        </w:numPr>
        <w:ind w:left="504"/>
      </w:pPr>
      <w:bookmarkStart w:id="64" w:name="_Toc62221413"/>
      <w:r>
        <w:t>Business as usual scenario</w:t>
      </w:r>
      <w:bookmarkEnd w:id="64"/>
    </w:p>
    <w:p w14:paraId="388466E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the NDC document submitted to the United Nations Framework Convention on Climate Change the projected emissions in the business as usual scenario for Indonesia in 2030 will be 1,669 MTCO2-e, which is used as aa reference for emission reduction calculations.</w:t>
      </w:r>
    </w:p>
    <w:p w14:paraId="4A6B6F0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The NEXSTEP analysis uses the latest available 2018 data for Indonesia’s energy sector and energy demand growth assumptions to calculate the energy sector emissions in 2030 at 880 MTCO2-e which is nearly half of the original estimate from the Government of Indonesia. The result of NEXSTEP exercise agrees with similar analysis completed in the Indonesia Energy Outlook 2019 which calculates energy sector emissions in 2030 at 912 MTCO2-e for the business as usual scenario. This indicates that the original NDC BAU target of 1,669 MTCO2-e needs to be revised and Government of Indonesia can raise ambitious in reducing energy sector emissions.</w:t>
      </w:r>
    </w:p>
    <w:p w14:paraId="168F163E" w14:textId="77777777" w:rsidR="00A031A6" w:rsidRDefault="00916FD0">
      <w:pPr>
        <w:pStyle w:val="Heading3"/>
        <w:numPr>
          <w:ilvl w:val="2"/>
          <w:numId w:val="21"/>
        </w:numPr>
        <w:ind w:left="588"/>
      </w:pPr>
      <w:bookmarkStart w:id="65" w:name="_Toc62221414"/>
      <w:r>
        <w:t>Current policy scenario</w:t>
      </w:r>
      <w:bookmarkEnd w:id="65"/>
    </w:p>
    <w:p w14:paraId="0A5512E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the Nationally Determined Contributions (NDC) document submitted to UNFCCC, Indonesia has committed to reducing GHG emissions in the energy sector to 11% unconditionally (without international aid) below the BAU scenario. The emissions in the current policy scenario will reach 825 MtCO2-e by 2030 (Figure 8), compared with 880 MtCO2-e in the BAU scenario, falling short of the NDC target by 42 MtCO2-e.</w:t>
      </w:r>
      <w:r>
        <w:rPr>
          <w:rFonts w:ascii="Arial" w:eastAsia="Arial" w:hAnsi="Arial" w:cs="Arial"/>
          <w:b/>
          <w:sz w:val="20"/>
          <w:szCs w:val="20"/>
        </w:rPr>
        <w:t xml:space="preserve"> </w:t>
      </w:r>
      <w:r>
        <w:rPr>
          <w:rFonts w:ascii="Arial" w:eastAsia="Arial" w:hAnsi="Arial" w:cs="Arial"/>
          <w:sz w:val="20"/>
          <w:szCs w:val="20"/>
        </w:rPr>
        <w:t>The result of NEXSTEP exercise agrees with similar analysis completed in the Indonesia Energy Outlook 2019 which calculates energy sector emissions in 2030 at 813 MTCO2-e for the PB scenario.</w:t>
      </w:r>
    </w:p>
    <w:p w14:paraId="7CC3F618" w14:textId="77777777" w:rsidR="00A031A6" w:rsidRDefault="00916FD0">
      <w:pPr>
        <w:pBdr>
          <w:top w:val="nil"/>
          <w:left w:val="nil"/>
          <w:bottom w:val="nil"/>
          <w:right w:val="nil"/>
          <w:between w:val="nil"/>
        </w:pBdr>
        <w:tabs>
          <w:tab w:val="left" w:pos="5640"/>
        </w:tabs>
        <w:spacing w:after="200" w:line="240" w:lineRule="auto"/>
        <w:jc w:val="center"/>
        <w:rPr>
          <w:rFonts w:ascii="Arial" w:eastAsia="Arial" w:hAnsi="Arial" w:cs="Arial"/>
          <w:b/>
          <w:color w:val="000000"/>
          <w:sz w:val="20"/>
          <w:szCs w:val="20"/>
        </w:rPr>
      </w:pPr>
      <w:bookmarkStart w:id="66" w:name="_3q5sasy" w:colFirst="0" w:colLast="0"/>
      <w:bookmarkEnd w:id="66"/>
      <w:r>
        <w:rPr>
          <w:rFonts w:ascii="Arial" w:eastAsia="Arial" w:hAnsi="Arial" w:cs="Arial"/>
          <w:b/>
          <w:color w:val="000000"/>
          <w:sz w:val="20"/>
          <w:szCs w:val="20"/>
        </w:rPr>
        <w:t>Figure 8 Indonesia energy sector emissions outlook, 2020 -2030</w:t>
      </w:r>
    </w:p>
    <w:p w14:paraId="04C4FB6C" w14:textId="77777777" w:rsidR="00A031A6" w:rsidRDefault="00916FD0">
      <w:pPr>
        <w:sectPr w:rsidR="00A031A6">
          <w:pgSz w:w="11906" w:h="16838"/>
          <w:pgMar w:top="1440" w:right="1440" w:bottom="1440" w:left="1440" w:header="708" w:footer="708" w:gutter="0"/>
          <w:cols w:space="720"/>
        </w:sectPr>
      </w:pPr>
      <w:r>
        <w:rPr>
          <w:noProof/>
        </w:rPr>
        <w:drawing>
          <wp:inline distT="0" distB="0" distL="0" distR="0" wp14:anchorId="20E35C27" wp14:editId="4D530A27">
            <wp:extent cx="5731510" cy="2729892"/>
            <wp:effectExtent l="0" t="0" r="0" b="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5731510" cy="2729892"/>
                    </a:xfrm>
                    <a:prstGeom prst="rect">
                      <a:avLst/>
                    </a:prstGeom>
                    <a:ln/>
                  </pic:spPr>
                </pic:pic>
              </a:graphicData>
            </a:graphic>
          </wp:inline>
        </w:drawing>
      </w:r>
    </w:p>
    <w:p w14:paraId="13EE05B9" w14:textId="77777777" w:rsidR="00A031A6" w:rsidRDefault="00916FD0">
      <w:pPr>
        <w:pStyle w:val="Heading1"/>
        <w:numPr>
          <w:ilvl w:val="0"/>
          <w:numId w:val="21"/>
        </w:numPr>
      </w:pPr>
      <w:bookmarkStart w:id="67" w:name="_Toc62221415"/>
      <w:r>
        <w:lastRenderedPageBreak/>
        <w:t>SDG scenario – achieving SDG 7 by 2030</w:t>
      </w:r>
      <w:bookmarkEnd w:id="67"/>
    </w:p>
    <w:p w14:paraId="2D5E597C" w14:textId="77777777"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Access to affordable, reliable, sustainable and modern energy is essential to achieving the 2030 agenda for Sustainable Development and the Paris Agreement on climate change. In the SDG scenario, TFEC increases from 1,032 MBOE in 2020 to 1,462 MBOE in 2030. The reduction in TFEC in this scenario, compared to the other scenarios, is due to the improvement in energy efficiency as per the SDG 7 target. In 2030, the industry sector will have the largest share of TFEC at 636 MBOE (44</w:t>
      </w:r>
      <w:r>
        <w:rPr>
          <w:rFonts w:ascii="Arial" w:eastAsia="Arial" w:hAnsi="Arial" w:cs="Arial"/>
          <w:sz w:val="20"/>
          <w:szCs w:val="20"/>
        </w:rPr>
        <w:t xml:space="preserve"> per cent)</w:t>
      </w:r>
      <w:r>
        <w:rPr>
          <w:rFonts w:ascii="Arial" w:eastAsia="Arial" w:hAnsi="Arial" w:cs="Arial"/>
          <w:color w:val="000000"/>
          <w:sz w:val="20"/>
          <w:szCs w:val="20"/>
        </w:rPr>
        <w:t>, followed by the transport sector at 468 MBOE (32</w:t>
      </w:r>
      <w:r>
        <w:rPr>
          <w:rFonts w:ascii="Arial" w:eastAsia="Arial" w:hAnsi="Arial" w:cs="Arial"/>
          <w:sz w:val="20"/>
          <w:szCs w:val="20"/>
        </w:rPr>
        <w:t xml:space="preserve"> per cent)</w:t>
      </w:r>
      <w:r>
        <w:rPr>
          <w:rFonts w:ascii="Arial" w:eastAsia="Arial" w:hAnsi="Arial" w:cs="Arial"/>
          <w:color w:val="000000"/>
          <w:sz w:val="20"/>
          <w:szCs w:val="20"/>
        </w:rPr>
        <w:t>, residential sector at 204 MBOE (14</w:t>
      </w:r>
      <w:r>
        <w:rPr>
          <w:rFonts w:ascii="Arial" w:eastAsia="Arial" w:hAnsi="Arial" w:cs="Arial"/>
          <w:sz w:val="20"/>
          <w:szCs w:val="20"/>
        </w:rPr>
        <w:t xml:space="preserve"> per cent)</w:t>
      </w:r>
      <w:r>
        <w:rPr>
          <w:rFonts w:ascii="Arial" w:eastAsia="Arial" w:hAnsi="Arial" w:cs="Arial"/>
          <w:color w:val="000000"/>
          <w:sz w:val="20"/>
          <w:szCs w:val="20"/>
        </w:rPr>
        <w:t>, commercial sector at 92 MBOE (6</w:t>
      </w:r>
      <w:r>
        <w:rPr>
          <w:rFonts w:ascii="Arial" w:eastAsia="Arial" w:hAnsi="Arial" w:cs="Arial"/>
          <w:sz w:val="20"/>
          <w:szCs w:val="20"/>
        </w:rPr>
        <w:t xml:space="preserve"> per cent)</w:t>
      </w:r>
      <w:r>
        <w:rPr>
          <w:rFonts w:ascii="Arial" w:eastAsia="Arial" w:hAnsi="Arial" w:cs="Arial"/>
          <w:color w:val="000000"/>
          <w:sz w:val="20"/>
          <w:szCs w:val="20"/>
        </w:rPr>
        <w:t>, other sectors at 25 MBOE (2</w:t>
      </w:r>
      <w:r>
        <w:rPr>
          <w:rFonts w:ascii="Arial" w:eastAsia="Arial" w:hAnsi="Arial" w:cs="Arial"/>
          <w:sz w:val="20"/>
          <w:szCs w:val="20"/>
        </w:rPr>
        <w:t xml:space="preserve"> per cent)</w:t>
      </w:r>
      <w:r>
        <w:rPr>
          <w:rFonts w:ascii="Arial" w:eastAsia="Arial" w:hAnsi="Arial" w:cs="Arial"/>
          <w:color w:val="000000"/>
          <w:sz w:val="20"/>
          <w:szCs w:val="20"/>
        </w:rPr>
        <w:t xml:space="preserve"> and non-energy use at 36 MBOE (2</w:t>
      </w:r>
      <w:r>
        <w:rPr>
          <w:rFonts w:ascii="Arial" w:eastAsia="Arial" w:hAnsi="Arial" w:cs="Arial"/>
          <w:sz w:val="20"/>
          <w:szCs w:val="20"/>
        </w:rPr>
        <w:t xml:space="preserve"> per cent)</w:t>
      </w:r>
      <w:r>
        <w:rPr>
          <w:rFonts w:ascii="Arial" w:eastAsia="Arial" w:hAnsi="Arial" w:cs="Arial"/>
          <w:color w:val="000000"/>
          <w:sz w:val="20"/>
          <w:szCs w:val="20"/>
        </w:rPr>
        <w:t xml:space="preserve">. (Figure 9) shows the total final energy consumption by scenario in 2030. </w:t>
      </w:r>
    </w:p>
    <w:p w14:paraId="179BA445"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68" w:name="_kgcv8k" w:colFirst="0" w:colLast="0"/>
      <w:bookmarkEnd w:id="68"/>
      <w:r>
        <w:rPr>
          <w:rFonts w:ascii="Arial" w:eastAsia="Arial" w:hAnsi="Arial" w:cs="Arial"/>
          <w:b/>
          <w:color w:val="000000"/>
          <w:sz w:val="20"/>
          <w:szCs w:val="20"/>
        </w:rPr>
        <w:t>Figure 9. Projection of TFEC, by scenario and sector, 2020 - 2030</w:t>
      </w:r>
    </w:p>
    <w:p w14:paraId="48F9A3B6" w14:textId="77777777" w:rsidR="00A031A6" w:rsidRDefault="00916FD0">
      <w:r>
        <w:rPr>
          <w:noProof/>
        </w:rPr>
        <w:drawing>
          <wp:inline distT="0" distB="0" distL="0" distR="0" wp14:anchorId="05B946AC" wp14:editId="2FD8F96B">
            <wp:extent cx="5731510" cy="3208655"/>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a:srcRect/>
                    <a:stretch>
                      <a:fillRect/>
                    </a:stretch>
                  </pic:blipFill>
                  <pic:spPr>
                    <a:xfrm>
                      <a:off x="0" y="0"/>
                      <a:ext cx="5731510" cy="3208655"/>
                    </a:xfrm>
                    <a:prstGeom prst="rect">
                      <a:avLst/>
                    </a:prstGeom>
                    <a:ln/>
                  </pic:spPr>
                </pic:pic>
              </a:graphicData>
            </a:graphic>
          </wp:inline>
        </w:drawing>
      </w:r>
    </w:p>
    <w:p w14:paraId="2C0A633F" w14:textId="77777777" w:rsidR="00A031A6" w:rsidRDefault="00A031A6">
      <w:pPr>
        <w:spacing w:after="0"/>
      </w:pPr>
    </w:p>
    <w:p w14:paraId="258E3178" w14:textId="77777777" w:rsidR="00A031A6" w:rsidRDefault="00916FD0">
      <w:pPr>
        <w:pStyle w:val="Heading2"/>
        <w:numPr>
          <w:ilvl w:val="1"/>
          <w:numId w:val="21"/>
        </w:numPr>
      </w:pPr>
      <w:bookmarkStart w:id="69" w:name="_Toc62221416"/>
      <w:r>
        <w:t>SDG 7 targets</w:t>
      </w:r>
      <w:bookmarkEnd w:id="69"/>
    </w:p>
    <w:p w14:paraId="5B0C8A4E" w14:textId="77777777" w:rsidR="00A031A6" w:rsidRDefault="00916FD0">
      <w:pPr>
        <w:pStyle w:val="Heading3"/>
        <w:numPr>
          <w:ilvl w:val="2"/>
          <w:numId w:val="21"/>
        </w:numPr>
        <w:ind w:left="532" w:hanging="532"/>
        <w:rPr>
          <w:sz w:val="22"/>
          <w:szCs w:val="22"/>
        </w:rPr>
      </w:pPr>
      <w:r>
        <w:rPr>
          <w:sz w:val="22"/>
          <w:szCs w:val="22"/>
        </w:rPr>
        <w:t xml:space="preserve"> </w:t>
      </w:r>
      <w:bookmarkStart w:id="70" w:name="_Toc62221417"/>
      <w:r>
        <w:rPr>
          <w:sz w:val="22"/>
          <w:szCs w:val="22"/>
        </w:rPr>
        <w:t>SDG 7.1.1. Access to electricity</w:t>
      </w:r>
      <w:bookmarkEnd w:id="70"/>
      <w:r>
        <w:rPr>
          <w:sz w:val="22"/>
          <w:szCs w:val="22"/>
        </w:rPr>
        <w:t xml:space="preserve"> </w:t>
      </w:r>
    </w:p>
    <w:p w14:paraId="0B22B7A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on track to achieve universal access to electricity by 2020. The electricity demand, in the SDG scenario,</w:t>
      </w:r>
      <w:r>
        <w:t xml:space="preserve"> </w:t>
      </w:r>
      <w:r>
        <w:rPr>
          <w:rFonts w:ascii="Arial" w:eastAsia="Arial" w:hAnsi="Arial" w:cs="Arial"/>
          <w:sz w:val="20"/>
          <w:szCs w:val="20"/>
        </w:rPr>
        <w:t>will increase from 255 TWh in 2018 to 585 TWh in 2030. This includes the additional demand in the transport sector due to the increased electrification of passenger cars, buses and taxis.</w:t>
      </w:r>
    </w:p>
    <w:p w14:paraId="4DEBD83B" w14:textId="77777777" w:rsidR="00A031A6" w:rsidRDefault="00916FD0">
      <w:pPr>
        <w:pStyle w:val="Heading3"/>
        <w:ind w:left="630" w:hanging="630"/>
        <w:rPr>
          <w:sz w:val="22"/>
          <w:szCs w:val="22"/>
        </w:rPr>
      </w:pPr>
      <w:bookmarkStart w:id="71" w:name="_Toc62221418"/>
      <w:r>
        <w:rPr>
          <w:sz w:val="22"/>
          <w:szCs w:val="22"/>
        </w:rPr>
        <w:t>4.1.2.</w:t>
      </w:r>
      <w:r>
        <w:rPr>
          <w:sz w:val="22"/>
          <w:szCs w:val="22"/>
        </w:rPr>
        <w:tab/>
        <w:t>SDG 7.1.2. Access to clean fuels and technologies for cooking</w:t>
      </w:r>
      <w:bookmarkEnd w:id="71"/>
    </w:p>
    <w:p w14:paraId="6BD33E7A" w14:textId="77777777" w:rsidR="00A031A6" w:rsidRDefault="00916FD0">
      <w:pPr>
        <w:spacing w:line="360" w:lineRule="auto"/>
        <w:jc w:val="both"/>
        <w:rPr>
          <w:rFonts w:ascii="Arial" w:eastAsia="Arial" w:hAnsi="Arial" w:cs="Arial"/>
          <w:sz w:val="20"/>
          <w:szCs w:val="20"/>
        </w:rPr>
      </w:pPr>
      <w:bookmarkStart w:id="72" w:name="_2iq8gzs" w:colFirst="0" w:colLast="0"/>
      <w:bookmarkEnd w:id="72"/>
      <w:r>
        <w:rPr>
          <w:rFonts w:ascii="Arial" w:eastAsia="Arial" w:hAnsi="Arial" w:cs="Arial"/>
          <w:sz w:val="20"/>
          <w:szCs w:val="20"/>
        </w:rPr>
        <w:t xml:space="preserve">The RUEN will connect 4.7 million city gas connections and 1.1 million biogas digesters. In the SDG scenario, the target is achieved by the promotion of electric cooking stoves for additional 15 million </w:t>
      </w:r>
      <w:r>
        <w:rPr>
          <w:rFonts w:ascii="Arial" w:eastAsia="Arial" w:hAnsi="Arial" w:cs="Arial"/>
          <w:sz w:val="20"/>
          <w:szCs w:val="20"/>
        </w:rPr>
        <w:lastRenderedPageBreak/>
        <w:t>households compared to the current policy scenario. Implementation of this programme will cost the Government of Indonesia IDR 9.77 trillion (US$ 688 million) by 2030. Refer to subsection 5.4.2 for an overview of suitable clean cooking technologies for Indonesia. Figure 10</w:t>
      </w:r>
      <w:r>
        <w:rPr>
          <w:rFonts w:ascii="Arial" w:eastAsia="Arial" w:hAnsi="Arial" w:cs="Arial"/>
          <w:i/>
          <w:sz w:val="20"/>
          <w:szCs w:val="20"/>
        </w:rPr>
        <w:t xml:space="preserve"> </w:t>
      </w:r>
      <w:r>
        <w:rPr>
          <w:rFonts w:ascii="Arial" w:eastAsia="Arial" w:hAnsi="Arial" w:cs="Arial"/>
          <w:sz w:val="20"/>
          <w:szCs w:val="20"/>
        </w:rPr>
        <w:t xml:space="preserve">shows the technology mix to achieve universal access to clean cooking for different scenarios. </w:t>
      </w:r>
    </w:p>
    <w:p w14:paraId="2210AF81"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73" w:name="_xvir7l" w:colFirst="0" w:colLast="0"/>
      <w:bookmarkEnd w:id="73"/>
      <w:r>
        <w:rPr>
          <w:rFonts w:ascii="Arial" w:eastAsia="Arial" w:hAnsi="Arial" w:cs="Arial"/>
          <w:b/>
          <w:color w:val="000000"/>
          <w:sz w:val="20"/>
          <w:szCs w:val="20"/>
        </w:rPr>
        <w:t>Figure 10. Fuel mix for clean cooking, by scenario, 2030</w:t>
      </w:r>
    </w:p>
    <w:p w14:paraId="7529B1F7" w14:textId="77777777" w:rsidR="00A031A6" w:rsidRDefault="00916FD0">
      <w:pPr>
        <w:spacing w:line="360" w:lineRule="auto"/>
        <w:jc w:val="both"/>
        <w:rPr>
          <w:rFonts w:ascii="Arial" w:eastAsia="Arial" w:hAnsi="Arial" w:cs="Arial"/>
          <w:sz w:val="20"/>
          <w:szCs w:val="20"/>
        </w:rPr>
      </w:pPr>
      <w:bookmarkStart w:id="74" w:name="_3hv69ve" w:colFirst="0" w:colLast="0"/>
      <w:bookmarkEnd w:id="74"/>
      <w:r>
        <w:rPr>
          <w:noProof/>
        </w:rPr>
        <w:drawing>
          <wp:inline distT="0" distB="0" distL="0" distR="0" wp14:anchorId="31E55BE8" wp14:editId="4703AB8C">
            <wp:extent cx="5753405" cy="2472537"/>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a:srcRect/>
                    <a:stretch>
                      <a:fillRect/>
                    </a:stretch>
                  </pic:blipFill>
                  <pic:spPr>
                    <a:xfrm>
                      <a:off x="0" y="0"/>
                      <a:ext cx="5753405" cy="2472537"/>
                    </a:xfrm>
                    <a:prstGeom prst="rect">
                      <a:avLst/>
                    </a:prstGeom>
                    <a:ln/>
                  </pic:spPr>
                </pic:pic>
              </a:graphicData>
            </a:graphic>
          </wp:inline>
        </w:drawing>
      </w:r>
      <w:r>
        <w:rPr>
          <w:rFonts w:ascii="Arial" w:eastAsia="Arial" w:hAnsi="Arial" w:cs="Arial"/>
          <w:sz w:val="20"/>
          <w:szCs w:val="20"/>
        </w:rPr>
        <w:t xml:space="preserve"> </w:t>
      </w:r>
    </w:p>
    <w:p w14:paraId="5B9D4338" w14:textId="77777777" w:rsidR="00A031A6" w:rsidRDefault="00916FD0">
      <w:pPr>
        <w:pStyle w:val="Heading3"/>
        <w:ind w:left="616" w:hanging="616"/>
        <w:rPr>
          <w:sz w:val="22"/>
          <w:szCs w:val="22"/>
        </w:rPr>
      </w:pPr>
      <w:bookmarkStart w:id="75" w:name="_Toc62221419"/>
      <w:r>
        <w:rPr>
          <w:sz w:val="22"/>
          <w:szCs w:val="22"/>
        </w:rPr>
        <w:t>4.1.3.</w:t>
      </w:r>
      <w:r>
        <w:rPr>
          <w:sz w:val="22"/>
          <w:szCs w:val="22"/>
        </w:rPr>
        <w:tab/>
        <w:t>SDG 7.2. Renewable energy</w:t>
      </w:r>
      <w:bookmarkEnd w:id="75"/>
      <w:r>
        <w:rPr>
          <w:sz w:val="22"/>
          <w:szCs w:val="22"/>
        </w:rPr>
        <w:t xml:space="preserve"> </w:t>
      </w:r>
    </w:p>
    <w:p w14:paraId="3B28AA2A" w14:textId="77777777" w:rsidR="00A031A6" w:rsidRDefault="00916FD0">
      <w:pPr>
        <w:spacing w:line="360" w:lineRule="auto"/>
        <w:jc w:val="both"/>
        <w:rPr>
          <w:rFonts w:ascii="Arial" w:eastAsia="Arial" w:hAnsi="Arial" w:cs="Arial"/>
          <w:sz w:val="20"/>
          <w:szCs w:val="20"/>
        </w:rPr>
      </w:pPr>
      <w:bookmarkStart w:id="76" w:name="_4h042r0" w:colFirst="0" w:colLast="0"/>
      <w:bookmarkEnd w:id="76"/>
      <w:r>
        <w:rPr>
          <w:rFonts w:ascii="Arial" w:eastAsia="Arial" w:hAnsi="Arial" w:cs="Arial"/>
          <w:sz w:val="20"/>
          <w:szCs w:val="20"/>
        </w:rPr>
        <w:t>SDG 7.2 does not have a quantitative target; however, an increase in renewable energy is required to meet the NDC emissions target. NEXSTEP methodology first estimates the net increase in energy demand in response to universal energy access (both electricity and clean cooking) as well as energy efficiency improvement. It then uses the NDC target for the energy sector to estimate the renewable energy share in TFEC.</w:t>
      </w:r>
    </w:p>
    <w:p w14:paraId="2214D989"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77" w:name="_2w5ecyt" w:colFirst="0" w:colLast="0"/>
      <w:bookmarkEnd w:id="77"/>
      <w:r>
        <w:rPr>
          <w:rFonts w:ascii="Arial" w:eastAsia="Arial" w:hAnsi="Arial" w:cs="Arial"/>
          <w:b/>
          <w:color w:val="000000"/>
          <w:sz w:val="20"/>
          <w:szCs w:val="20"/>
        </w:rPr>
        <w:t>Figure 11. Renewable energy in TFEC, 2030</w:t>
      </w:r>
    </w:p>
    <w:p w14:paraId="14EA332A" w14:textId="77777777" w:rsidR="00A031A6" w:rsidRDefault="00916FD0">
      <w:pPr>
        <w:spacing w:line="360" w:lineRule="auto"/>
        <w:jc w:val="center"/>
      </w:pPr>
      <w:r>
        <w:rPr>
          <w:noProof/>
        </w:rPr>
        <w:drawing>
          <wp:inline distT="0" distB="0" distL="0" distR="0" wp14:anchorId="72D8F2A6" wp14:editId="07E1AD83">
            <wp:extent cx="5731510" cy="250761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0"/>
                    <a:srcRect/>
                    <a:stretch>
                      <a:fillRect/>
                    </a:stretch>
                  </pic:blipFill>
                  <pic:spPr>
                    <a:xfrm>
                      <a:off x="0" y="0"/>
                      <a:ext cx="5731510" cy="2507615"/>
                    </a:xfrm>
                    <a:prstGeom prst="rect">
                      <a:avLst/>
                    </a:prstGeom>
                    <a:ln/>
                  </pic:spPr>
                </pic:pic>
              </a:graphicData>
            </a:graphic>
          </wp:inline>
        </w:drawing>
      </w:r>
    </w:p>
    <w:p w14:paraId="77B9964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TFEC in 2030 will be 10.7 per cent equivalent to 11.6 per cent of TPES in the business as usual scenario, which is expected to grow to 16.4 per cent in TFEC, equivalent </w:t>
      </w:r>
      <w:r>
        <w:rPr>
          <w:rFonts w:ascii="Arial" w:eastAsia="Arial" w:hAnsi="Arial" w:cs="Arial"/>
          <w:sz w:val="20"/>
          <w:szCs w:val="20"/>
        </w:rPr>
        <w:lastRenderedPageBreak/>
        <w:t>to 17.7 per cent of TPES by 2030 in the current policy scenario (Figure 11). This increase is largely driven by the biofuel mandate and the increase in the renewable energy share in RUPTL 2019-2028. The renewable energy share in TFEC needs to increase to 22.9 per cent, equivalent to 32.6 per cent of TPES in order to reduce emissions and achieve the NDC unconditional target. As indicated in the NEXSTEP methodology above, this is the optimum share of renewable energy that considers the reduction of TFEC due to the improvement in energy efficiency as well as switching from biomass-based cooking stoves to electric cooking stoves. This share of renewable energy also reflects a moderate increase in biofuel (box 1) and uptake of renewable-based power generation technology</w:t>
      </w:r>
    </w:p>
    <w:tbl>
      <w:tblPr>
        <w:tblStyle w:val="a2"/>
        <w:tblW w:w="907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072"/>
      </w:tblGrid>
      <w:tr w:rsidR="00A031A6" w14:paraId="085D7348" w14:textId="77777777">
        <w:trPr>
          <w:trHeight w:val="7104"/>
        </w:trPr>
        <w:tc>
          <w:tcPr>
            <w:tcW w:w="9072" w:type="dxa"/>
          </w:tcPr>
          <w:p w14:paraId="25C79264" w14:textId="77777777" w:rsidR="00A031A6" w:rsidRDefault="00916FD0">
            <w:pPr>
              <w:spacing w:before="60"/>
              <w:jc w:val="center"/>
              <w:rPr>
                <w:rFonts w:ascii="Arial" w:eastAsia="Arial" w:hAnsi="Arial" w:cs="Arial"/>
                <w:b/>
                <w:color w:val="0070C0"/>
                <w:sz w:val="24"/>
                <w:szCs w:val="24"/>
              </w:rPr>
            </w:pPr>
            <w:bookmarkStart w:id="78" w:name="_1baon6m" w:colFirst="0" w:colLast="0"/>
            <w:bookmarkEnd w:id="78"/>
            <w:r>
              <w:rPr>
                <w:rFonts w:ascii="Arial" w:eastAsia="Arial" w:hAnsi="Arial" w:cs="Arial"/>
                <w:b/>
                <w:color w:val="0070C0"/>
                <w:sz w:val="24"/>
                <w:szCs w:val="24"/>
              </w:rPr>
              <w:t>Box 1. Indonesia’s biofuel policy</w:t>
            </w:r>
          </w:p>
          <w:p w14:paraId="7447C364" w14:textId="77777777" w:rsidR="00A031A6" w:rsidRDefault="00916FD0">
            <w:pPr>
              <w:spacing w:before="240" w:line="360" w:lineRule="auto"/>
              <w:rPr>
                <w:rFonts w:ascii="Arial" w:eastAsia="Arial" w:hAnsi="Arial" w:cs="Arial"/>
                <w:sz w:val="20"/>
                <w:szCs w:val="20"/>
              </w:rPr>
            </w:pPr>
            <w:r>
              <w:rPr>
                <w:rFonts w:ascii="Arial" w:eastAsia="Arial" w:hAnsi="Arial" w:cs="Arial"/>
                <w:sz w:val="20"/>
                <w:szCs w:val="20"/>
              </w:rPr>
              <w:t xml:space="preserve">Indonesia has one of the most ambitious biofuel programmes in the world. The biofuel mandate of 30 per cent biodiesel and 20 per cent bioethanol utilization by 2025 is based on Ministry of Energy and Mineral Resources Regulation No.12 of 2015 in the transport sector. However, biofuels have unintended consequences related to deforestation, a negative impact on biodiversity and concern about greenhouse gas emissions. </w:t>
            </w:r>
          </w:p>
          <w:p w14:paraId="001FD4F5" w14:textId="77777777" w:rsidR="00A031A6" w:rsidRDefault="00916FD0">
            <w:pPr>
              <w:spacing w:before="240" w:line="360" w:lineRule="auto"/>
              <w:rPr>
                <w:rFonts w:ascii="Arial" w:eastAsia="Arial" w:hAnsi="Arial" w:cs="Arial"/>
                <w:sz w:val="20"/>
                <w:szCs w:val="20"/>
              </w:rPr>
            </w:pPr>
            <w:r>
              <w:rPr>
                <w:rFonts w:ascii="Arial" w:eastAsia="Arial" w:hAnsi="Arial" w:cs="Arial"/>
                <w:sz w:val="20"/>
                <w:szCs w:val="20"/>
              </w:rPr>
              <w:t xml:space="preserve">Indirect land-use change (ILUC) is a major concern among environmental experts. If biofuel crops are produced on uncultivated land it leads to direct land-use change. However, biofuel crops grown on existing cultivated land leads to new land being cleared to grow food crops. If ILUCF is taken into account, GHG saving performance decreases by about 15 per cent for ethanol pathways, and there are no GHG savings for any biodiesel pathway (except biodiesel from waste) (European Parliament, 2015). </w:t>
            </w:r>
          </w:p>
          <w:p w14:paraId="603977C5" w14:textId="77777777" w:rsidR="00A031A6" w:rsidRDefault="00916FD0">
            <w:pPr>
              <w:spacing w:before="240" w:line="360" w:lineRule="auto"/>
              <w:rPr>
                <w:rFonts w:ascii="Arial" w:eastAsia="Arial" w:hAnsi="Arial" w:cs="Arial"/>
                <w:sz w:val="20"/>
                <w:szCs w:val="20"/>
              </w:rPr>
            </w:pPr>
            <w:r>
              <w:rPr>
                <w:rFonts w:ascii="Arial" w:eastAsia="Arial" w:hAnsi="Arial" w:cs="Arial"/>
                <w:sz w:val="20"/>
                <w:szCs w:val="20"/>
              </w:rPr>
              <w:t>Studies have shown expansion of palm oil-based biodiesel has negative impacts related to increases in deforestation and peatland drainage. In Indonesia 23 million hectares of forest were allotted for conversion to palm-oil, but only 2 million hectares were utilized for palm-oil cultivation, with companies gaining profits from timber sales and not fulfilling their cultivation obligations. Air pollution is another concern due to health damage from wildfire haze in forest-clearing activities and peat drainage for palm oil (Gerasimchuk, I. and others, 2013).</w:t>
            </w:r>
          </w:p>
          <w:p w14:paraId="17B4A653" w14:textId="77777777" w:rsidR="00A031A6" w:rsidRDefault="00916FD0">
            <w:pPr>
              <w:spacing w:before="240" w:line="360" w:lineRule="auto"/>
              <w:rPr>
                <w:rFonts w:ascii="Arial" w:eastAsia="Arial" w:hAnsi="Arial" w:cs="Arial"/>
                <w:sz w:val="20"/>
                <w:szCs w:val="20"/>
              </w:rPr>
            </w:pPr>
            <w:r>
              <w:rPr>
                <w:rFonts w:ascii="Arial" w:eastAsia="Arial" w:hAnsi="Arial" w:cs="Arial"/>
                <w:sz w:val="20"/>
                <w:szCs w:val="20"/>
              </w:rPr>
              <w:t>Biofuels still have a part to play in the sustainable energy transition. Progress towards second-generation and third-generation biofuels such as algae is key. Investment is required in research and development to reach commercial potential.</w:t>
            </w:r>
          </w:p>
        </w:tc>
      </w:tr>
    </w:tbl>
    <w:p w14:paraId="041C3C52" w14:textId="77777777" w:rsidR="00A031A6" w:rsidRDefault="00A031A6">
      <w:pPr>
        <w:spacing w:line="360" w:lineRule="auto"/>
        <w:jc w:val="both"/>
        <w:rPr>
          <w:rFonts w:ascii="Arial" w:eastAsia="Arial" w:hAnsi="Arial" w:cs="Arial"/>
          <w:sz w:val="20"/>
          <w:szCs w:val="20"/>
        </w:rPr>
      </w:pPr>
    </w:p>
    <w:p w14:paraId="4A42BAE1" w14:textId="77777777" w:rsidR="00A031A6" w:rsidRDefault="00916FD0">
      <w:pPr>
        <w:pStyle w:val="Heading3"/>
        <w:numPr>
          <w:ilvl w:val="2"/>
          <w:numId w:val="36"/>
        </w:numPr>
        <w:ind w:left="567" w:hanging="581"/>
      </w:pPr>
      <w:bookmarkStart w:id="79" w:name="_Toc62221420"/>
      <w:r>
        <w:rPr>
          <w:sz w:val="22"/>
          <w:szCs w:val="22"/>
        </w:rPr>
        <w:t>SDG 7.3. Energy efficiency</w:t>
      </w:r>
      <w:bookmarkEnd w:id="79"/>
      <w:r>
        <w:rPr>
          <w:sz w:val="22"/>
          <w:szCs w:val="22"/>
        </w:rPr>
        <w:t xml:space="preserve"> </w:t>
      </w:r>
    </w:p>
    <w:p w14:paraId="7D082034" w14:textId="77777777" w:rsidR="00A031A6" w:rsidRDefault="00916FD0">
      <w:pPr>
        <w:spacing w:line="360" w:lineRule="auto"/>
        <w:jc w:val="both"/>
        <w:rPr>
          <w:rFonts w:ascii="Arial" w:eastAsia="Arial" w:hAnsi="Arial" w:cs="Arial"/>
          <w:sz w:val="20"/>
          <w:szCs w:val="20"/>
        </w:rPr>
      </w:pPr>
      <w:bookmarkStart w:id="80" w:name="_2afmg28" w:colFirst="0" w:colLast="0"/>
      <w:bookmarkEnd w:id="80"/>
      <w:r>
        <w:rPr>
          <w:rFonts w:ascii="Arial" w:eastAsia="Arial" w:hAnsi="Arial" w:cs="Arial"/>
          <w:sz w:val="20"/>
          <w:szCs w:val="20"/>
        </w:rPr>
        <w:t xml:space="preserve">The primary energy intensity, a proxy for the measurement of energy efficiency improvement, is estimated to be 2.43 MJ/US$ and falls short of the SDG rate of 2.39 MJ/US$ in 2030. The rate of improvement in primary energy intensity is expected to be 1.4 per cent both in the BAU scenario and the current policy scenario. The required improvement in primary energy intensity is 1.53 per cent in Indonesia and will be achieved in all SDG scenarios (Figure 12). </w:t>
      </w:r>
    </w:p>
    <w:p w14:paraId="3BC85C42"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Energy efficiency measures in the residential, transport, industrial and commercial sectors reduce TFEC by more than 158 MBOE compared to the current policy scenario, with the highest in the transport sector (115 MBOE) followed by the industrial sector (27 MBOE) and residential sector (16 MBOE). Details of the measures in different sectors together with the size of savings are given in the subsection 5.4.3.</w:t>
      </w:r>
    </w:p>
    <w:p w14:paraId="10882313"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1" w:name="_pkwqa1" w:colFirst="0" w:colLast="0"/>
      <w:bookmarkEnd w:id="81"/>
      <w:r>
        <w:rPr>
          <w:rFonts w:ascii="Arial" w:eastAsia="Arial" w:hAnsi="Arial" w:cs="Arial"/>
          <w:b/>
          <w:color w:val="000000"/>
          <w:sz w:val="20"/>
          <w:szCs w:val="20"/>
        </w:rPr>
        <w:t>Figure 12. Energy efficiency savings in the SDG scenario</w:t>
      </w:r>
    </w:p>
    <w:p w14:paraId="51B6543C" w14:textId="77777777" w:rsidR="00A031A6" w:rsidRDefault="00916FD0">
      <w:pPr>
        <w:spacing w:line="360" w:lineRule="auto"/>
        <w:jc w:val="both"/>
        <w:rPr>
          <w:rFonts w:ascii="Arial" w:eastAsia="Arial" w:hAnsi="Arial" w:cs="Arial"/>
          <w:sz w:val="20"/>
          <w:szCs w:val="20"/>
        </w:rPr>
      </w:pPr>
      <w:r>
        <w:rPr>
          <w:noProof/>
        </w:rPr>
        <w:drawing>
          <wp:inline distT="0" distB="0" distL="0" distR="0" wp14:anchorId="77CA40F2" wp14:editId="252A7342">
            <wp:extent cx="5760000" cy="252000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760000" cy="2520000"/>
                    </a:xfrm>
                    <a:prstGeom prst="rect">
                      <a:avLst/>
                    </a:prstGeom>
                    <a:ln/>
                  </pic:spPr>
                </pic:pic>
              </a:graphicData>
            </a:graphic>
          </wp:inline>
        </w:drawing>
      </w:r>
    </w:p>
    <w:p w14:paraId="5ACA74CF" w14:textId="77777777" w:rsidR="00A031A6" w:rsidRDefault="00916FD0">
      <w:pPr>
        <w:pStyle w:val="Heading3"/>
        <w:numPr>
          <w:ilvl w:val="2"/>
          <w:numId w:val="36"/>
        </w:numPr>
        <w:ind w:left="602" w:hanging="602"/>
        <w:rPr>
          <w:sz w:val="22"/>
          <w:szCs w:val="22"/>
        </w:rPr>
      </w:pPr>
      <w:bookmarkStart w:id="82" w:name="_Toc62221421"/>
      <w:r>
        <w:rPr>
          <w:sz w:val="22"/>
          <w:szCs w:val="22"/>
        </w:rPr>
        <w:t>NDC unconditional target</w:t>
      </w:r>
      <w:bookmarkEnd w:id="82"/>
    </w:p>
    <w:p w14:paraId="23F0226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Emission analysis in this study suggests that the BAU emission in 2030 will be 880 MtCO2-e. This is different to what is reported in the NDC document.</w:t>
      </w:r>
      <w:r>
        <w:rPr>
          <w:rFonts w:ascii="Arial" w:eastAsia="Arial" w:hAnsi="Arial" w:cs="Arial"/>
          <w:sz w:val="20"/>
          <w:szCs w:val="20"/>
          <w:vertAlign w:val="superscript"/>
        </w:rPr>
        <w:footnoteReference w:id="4"/>
      </w:r>
      <w:r>
        <w:rPr>
          <w:rFonts w:ascii="Arial" w:eastAsia="Arial" w:hAnsi="Arial" w:cs="Arial"/>
          <w:sz w:val="20"/>
          <w:szCs w:val="20"/>
        </w:rPr>
        <w:t xml:space="preserve"> This difference is primarily due to the changes in the predicted economic growth of the country. Indonesia has committed to reducing GHG emissions in the energy sector by 11 per cent unconditionally (without international aid), below the BAU level. In response to this target, Indonesia will need to reduce its emissions by 42 MtCO2-e compared to the current policy scenario. Emissions in the current policy scenario will reach 825 MtCO2-e by 2030, compared with 880 MtCO2-e in the BAU scenario. Emissions in the SDG scenario will be 605 MtCO2-e in 2030, which is set to achieve the NDC target (unconditional). (Figure 13) shows emissions in different scenarios.</w:t>
      </w:r>
    </w:p>
    <w:p w14:paraId="4E65D21E"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3" w:name="_1opuj5n" w:colFirst="0" w:colLast="0"/>
      <w:bookmarkEnd w:id="83"/>
      <w:r>
        <w:rPr>
          <w:rFonts w:ascii="Arial" w:eastAsia="Arial" w:hAnsi="Arial" w:cs="Arial"/>
          <w:b/>
          <w:color w:val="000000"/>
          <w:sz w:val="20"/>
          <w:szCs w:val="20"/>
        </w:rPr>
        <w:lastRenderedPageBreak/>
        <w:t>Figure 13. Emissions by scenario, 2030</w:t>
      </w:r>
    </w:p>
    <w:p w14:paraId="333AA1EA" w14:textId="77777777" w:rsidR="00A031A6" w:rsidRDefault="00916FD0">
      <w:r>
        <w:rPr>
          <w:noProof/>
        </w:rPr>
        <w:drawing>
          <wp:inline distT="0" distB="0" distL="0" distR="0" wp14:anchorId="689481D1" wp14:editId="24451CC6">
            <wp:extent cx="5731510" cy="2507615"/>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5731510" cy="2507615"/>
                    </a:xfrm>
                    <a:prstGeom prst="rect">
                      <a:avLst/>
                    </a:prstGeom>
                    <a:ln/>
                  </pic:spPr>
                </pic:pic>
              </a:graphicData>
            </a:graphic>
          </wp:inline>
        </w:drawing>
      </w:r>
    </w:p>
    <w:p w14:paraId="6B625FC1" w14:textId="77777777" w:rsidR="00A031A6" w:rsidRDefault="00A031A6"/>
    <w:p w14:paraId="38004F79" w14:textId="77777777" w:rsidR="00A031A6" w:rsidRDefault="00916FD0">
      <w:pPr>
        <w:pStyle w:val="Heading2"/>
        <w:numPr>
          <w:ilvl w:val="1"/>
          <w:numId w:val="36"/>
        </w:numPr>
      </w:pPr>
      <w:bookmarkStart w:id="84" w:name="_Toc62221422"/>
      <w:r>
        <w:t>Power generation in the context of SDG 7</w:t>
      </w:r>
      <w:bookmarkEnd w:id="84"/>
    </w:p>
    <w:p w14:paraId="7EF59F3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demand for electricity in 2030 will be 532 TWh, both in the BAU and current policy scenarios (Figure 14). The bulk of the demand will be seen in the residential sector (219 TWh), followed by the industrial sector (186 TWh) and the commercial sector (126 TWh). In the SDG scenario, the demand is expected to increase 585 TWh by 2030, largely due to the increase in electricity demand in the transport sector. </w:t>
      </w:r>
    </w:p>
    <w:p w14:paraId="2FE9B4AF" w14:textId="77777777" w:rsidR="00A031A6" w:rsidRDefault="00916FD0">
      <w:pPr>
        <w:keepNext/>
        <w:pBdr>
          <w:top w:val="nil"/>
          <w:left w:val="nil"/>
          <w:bottom w:val="nil"/>
          <w:right w:val="nil"/>
          <w:between w:val="nil"/>
        </w:pBdr>
        <w:tabs>
          <w:tab w:val="left" w:pos="1150"/>
          <w:tab w:val="center" w:pos="4513"/>
        </w:tabs>
        <w:spacing w:after="120" w:line="240" w:lineRule="auto"/>
        <w:jc w:val="center"/>
        <w:rPr>
          <w:rFonts w:ascii="Arial" w:eastAsia="Arial" w:hAnsi="Arial" w:cs="Arial"/>
          <w:b/>
          <w:color w:val="000000"/>
          <w:sz w:val="20"/>
          <w:szCs w:val="20"/>
        </w:rPr>
      </w:pPr>
      <w:bookmarkStart w:id="85" w:name="_2nusc19" w:colFirst="0" w:colLast="0"/>
      <w:bookmarkEnd w:id="85"/>
      <w:r>
        <w:rPr>
          <w:rFonts w:ascii="Arial" w:eastAsia="Arial" w:hAnsi="Arial" w:cs="Arial"/>
          <w:b/>
          <w:color w:val="000000"/>
          <w:sz w:val="20"/>
          <w:szCs w:val="20"/>
        </w:rPr>
        <w:t>Figure 14. Electricity demand, by sector, 2030 – all scenarios</w:t>
      </w:r>
    </w:p>
    <w:p w14:paraId="33C55DF0" w14:textId="77777777" w:rsidR="00A031A6" w:rsidRDefault="00916FD0">
      <w:pPr>
        <w:spacing w:line="360" w:lineRule="auto"/>
        <w:jc w:val="both"/>
        <w:rPr>
          <w:rFonts w:ascii="Arial" w:eastAsia="Arial" w:hAnsi="Arial" w:cs="Arial"/>
          <w:sz w:val="20"/>
          <w:szCs w:val="20"/>
        </w:rPr>
      </w:pPr>
      <w:r>
        <w:rPr>
          <w:noProof/>
        </w:rPr>
        <w:drawing>
          <wp:inline distT="0" distB="0" distL="0" distR="0" wp14:anchorId="0A6D9659" wp14:editId="292D9393">
            <wp:extent cx="5731510" cy="2507457"/>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731510" cy="2507457"/>
                    </a:xfrm>
                    <a:prstGeom prst="rect">
                      <a:avLst/>
                    </a:prstGeom>
                    <a:ln/>
                  </pic:spPr>
                </pic:pic>
              </a:graphicData>
            </a:graphic>
          </wp:inline>
        </w:drawing>
      </w:r>
    </w:p>
    <w:p w14:paraId="35B19B27" w14:textId="77777777" w:rsidR="00A031A6" w:rsidRDefault="00916FD0">
      <w:pPr>
        <w:spacing w:line="360" w:lineRule="auto"/>
        <w:jc w:val="both"/>
      </w:pPr>
      <w:r>
        <w:rPr>
          <w:rFonts w:ascii="Arial" w:eastAsia="Arial" w:hAnsi="Arial" w:cs="Arial"/>
          <w:sz w:val="20"/>
          <w:szCs w:val="20"/>
        </w:rPr>
        <w:t>In terms of fuel mix in power generation, coal-fired power will be the dominating source of power generation in the BAU and current policy scenarios. In the SDG scenario, high penetration of renewable energy will be needed to achieve the NDC target and to substantially increase the share of renewable energy in TFEC. (Figure 15) shows the shares of different renewable energy sources in different scenarios in 2030.</w:t>
      </w:r>
      <w:r>
        <w:t xml:space="preserve"> </w:t>
      </w:r>
    </w:p>
    <w:p w14:paraId="7999EE46" w14:textId="77777777" w:rsidR="00A031A6" w:rsidRDefault="00A031A6">
      <w:pPr>
        <w:spacing w:line="360" w:lineRule="auto"/>
        <w:jc w:val="both"/>
        <w:rPr>
          <w:rFonts w:ascii="Arial" w:eastAsia="Arial" w:hAnsi="Arial" w:cs="Arial"/>
          <w:sz w:val="20"/>
          <w:szCs w:val="20"/>
        </w:rPr>
      </w:pPr>
    </w:p>
    <w:p w14:paraId="2156DBBB"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6" w:name="_1302m92" w:colFirst="0" w:colLast="0"/>
      <w:bookmarkEnd w:id="86"/>
      <w:r>
        <w:rPr>
          <w:rFonts w:ascii="Arial" w:eastAsia="Arial" w:hAnsi="Arial" w:cs="Arial"/>
          <w:b/>
          <w:color w:val="000000"/>
          <w:sz w:val="20"/>
          <w:szCs w:val="20"/>
        </w:rPr>
        <w:lastRenderedPageBreak/>
        <w:t>Figure 15. Renewable power generation, 2030</w:t>
      </w:r>
    </w:p>
    <w:p w14:paraId="1C3868C8" w14:textId="77777777" w:rsidR="00A031A6" w:rsidRDefault="00916FD0">
      <w:pPr>
        <w:spacing w:line="360" w:lineRule="auto"/>
        <w:jc w:val="both"/>
        <w:rPr>
          <w:rFonts w:ascii="Arial" w:eastAsia="Arial" w:hAnsi="Arial" w:cs="Arial"/>
          <w:sz w:val="20"/>
          <w:szCs w:val="20"/>
        </w:rPr>
      </w:pPr>
      <w:r>
        <w:rPr>
          <w:noProof/>
        </w:rPr>
        <w:drawing>
          <wp:inline distT="0" distB="0" distL="0" distR="0" wp14:anchorId="54832D91" wp14:editId="4777F23C">
            <wp:extent cx="5731510" cy="2591435"/>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731510" cy="2591435"/>
                    </a:xfrm>
                    <a:prstGeom prst="rect">
                      <a:avLst/>
                    </a:prstGeom>
                    <a:ln/>
                  </pic:spPr>
                </pic:pic>
              </a:graphicData>
            </a:graphic>
          </wp:inline>
        </w:drawing>
      </w:r>
    </w:p>
    <w:p w14:paraId="3B187DF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installed electric power generation capacity for Indonesia is calculated as 136 GW for both the BAU and CPS. In the SDG scenario, the installed capacity increases to 154 GW due to an increase in renewable energy in the power generation mix (Figure 16). However, it is important to note that the SDG scenario is based on least-cost optimization which looks at the life-cycle cost of the power plant including capital, operating and fuel costs during operation based on Indonesia national data.</w:t>
      </w:r>
    </w:p>
    <w:p w14:paraId="35A49D15"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87" w:name="_3mzq4wv" w:colFirst="0" w:colLast="0"/>
      <w:bookmarkEnd w:id="87"/>
      <w:r>
        <w:rPr>
          <w:rFonts w:ascii="Arial" w:eastAsia="Arial" w:hAnsi="Arial" w:cs="Arial"/>
          <w:b/>
          <w:color w:val="000000"/>
          <w:sz w:val="20"/>
          <w:szCs w:val="20"/>
        </w:rPr>
        <w:t>Figure 16 Installed electric power generation capacity, 2030</w:t>
      </w:r>
    </w:p>
    <w:p w14:paraId="072B0540" w14:textId="77777777" w:rsidR="00A031A6" w:rsidRDefault="00916FD0">
      <w:pPr>
        <w:keepNext/>
        <w:tabs>
          <w:tab w:val="left" w:pos="6695"/>
        </w:tabs>
      </w:pPr>
      <w:r>
        <w:rPr>
          <w:noProof/>
        </w:rPr>
        <w:drawing>
          <wp:inline distT="0" distB="0" distL="0" distR="0" wp14:anchorId="5F94CA7A" wp14:editId="6A288CA0">
            <wp:extent cx="5731510" cy="3054985"/>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31510" cy="3054985"/>
                    </a:xfrm>
                    <a:prstGeom prst="rect">
                      <a:avLst/>
                    </a:prstGeom>
                    <a:ln/>
                  </pic:spPr>
                </pic:pic>
              </a:graphicData>
            </a:graphic>
          </wp:inline>
        </w:drawing>
      </w:r>
    </w:p>
    <w:p w14:paraId="18751AD4" w14:textId="77777777" w:rsidR="00A031A6" w:rsidRDefault="00916FD0">
      <w:pPr>
        <w:tabs>
          <w:tab w:val="left" w:pos="6695"/>
        </w:tabs>
        <w:rPr>
          <w:rFonts w:ascii="Arial" w:eastAsia="Arial" w:hAnsi="Arial" w:cs="Arial"/>
          <w:sz w:val="20"/>
          <w:szCs w:val="20"/>
        </w:rPr>
        <w:sectPr w:rsidR="00A031A6">
          <w:pgSz w:w="11906" w:h="16838"/>
          <w:pgMar w:top="1440" w:right="1440" w:bottom="1440" w:left="1440" w:header="708" w:footer="708" w:gutter="0"/>
          <w:cols w:space="720"/>
        </w:sectPr>
      </w:pPr>
      <w:r>
        <w:rPr>
          <w:rFonts w:ascii="Arial" w:eastAsia="Arial" w:hAnsi="Arial" w:cs="Arial"/>
          <w:sz w:val="20"/>
          <w:szCs w:val="20"/>
        </w:rPr>
        <w:tab/>
      </w:r>
    </w:p>
    <w:p w14:paraId="5F9301CB" w14:textId="77777777" w:rsidR="00A031A6" w:rsidRDefault="00916FD0">
      <w:pPr>
        <w:pStyle w:val="Heading2"/>
        <w:numPr>
          <w:ilvl w:val="1"/>
          <w:numId w:val="36"/>
        </w:numPr>
        <w:sectPr w:rsidR="00A031A6">
          <w:pgSz w:w="11906" w:h="16838"/>
          <w:pgMar w:top="1440" w:right="1440" w:bottom="1440" w:left="1440" w:header="708" w:footer="708" w:gutter="0"/>
          <w:cols w:space="720"/>
        </w:sectPr>
      </w:pPr>
      <w:bookmarkStart w:id="88" w:name="_Toc62221423"/>
      <w:r>
        <w:lastRenderedPageBreak/>
        <w:t>Policy actions for achieving SDG 7</w:t>
      </w:r>
      <w:bookmarkEnd w:id="88"/>
    </w:p>
    <w:p w14:paraId="25B8AD3A" w14:textId="77777777" w:rsidR="00A031A6" w:rsidRDefault="00916FD0">
      <w:pPr>
        <w:pStyle w:val="Heading3"/>
        <w:ind w:left="0"/>
        <w:jc w:val="left"/>
        <w:rPr>
          <w:sz w:val="22"/>
          <w:szCs w:val="22"/>
        </w:rPr>
      </w:pPr>
      <w:bookmarkStart w:id="89" w:name="_Toc62221424"/>
      <w:r>
        <w:rPr>
          <w:sz w:val="22"/>
          <w:szCs w:val="22"/>
        </w:rPr>
        <w:t>5.3.1. Decentralized renewable energy for rural electrification</w:t>
      </w:r>
      <w:bookmarkEnd w:id="89"/>
    </w:p>
    <w:p w14:paraId="38DA53CD" w14:textId="77777777"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t xml:space="preserve">Indonesia is on track to achieve universal access to electricity by 2020. The least-cost electrification programme in Indonesia should be based on renewable off-grid generation. The NEXSTEP analysis compares the cost of connection by three methods – grid extension, mini-grid electrification and off-grid renewable energy systems. </w:t>
      </w:r>
    </w:p>
    <w:p w14:paraId="2ACDAF2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Grid electrification is executed by the State Electricity Company PLN. Based on the PLN rural electrification plan, the planned connection cost to achieve universal access to electricity is IDR 14.21 million (US$1,000) per household. However, this cost can increase substantially due to dealing with aspects such as remote communities and villages, complex terrain, low population densities, and levels of willingness and ability to pay by low-income households. Based on an Asia Development Bank (ADB) analysis for Sumba, the connection cost per household will be IDR 25 million (US$1,760) (ADB, 2016). </w:t>
      </w:r>
    </w:p>
    <w:p w14:paraId="2FC4155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As of 2018, 1.1 million households in Indonesia still lacked access to electricity. The projected cost of achieving universal access is IDR 17.05 trillion (US$1.2 billion), based on low-cost assumption. However, it is important to consider the fact that the cost could increase to IDR 28.85 trillion (US$2.03 billion), based on high-cost assumption. In rural areas with a high cost of supply by rural grid extension programmes, it may be unsustainable for utilities and unaffordable for consumers. Apart from the connection cost, several challenges should be considered that are related to the maintenance cost of distribution network, unreliable supply with several hours of power cuts daily and environmental impact of power lines in protected areas. </w:t>
      </w:r>
    </w:p>
    <w:p w14:paraId="1072DB8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Mini-grid electrification based on solar power was analysed as the second option for achieving universal access to electricity, for which the connection cost was calculated at IDR 15.35 million (US$1,080) per household. Mini-grid systems require capital investment in power generation, transformers and distribution lines for households. </w:t>
      </w:r>
    </w:p>
    <w:p w14:paraId="215DBE9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Off-grid solar home systems with battery energy storage were selected as the most suitable and cost-effective option for achieving universal access to electricity. The connection cost was calculated at IDR 14.44 million (US$1,016) per household. The average household energy requirement was estimated at 101 kWh per month. The technical option is a 600W solar panel, 700 VA inverter and 4kWh Lithium-ion battery storage. The economic calculation includes capital cost for equipment and installation cost.  </w:t>
      </w:r>
    </w:p>
    <w:p w14:paraId="24655ED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implementation of off-grid solar home systems with battery energy storage electrification programme will cost the Government of Indonesia IDR 16.63 trillion (US$1.17 billion). This cost can be further decreased by sourcing local equipment and, at the same time, creating new job opportunities.</w:t>
      </w:r>
    </w:p>
    <w:p w14:paraId="5FF3B8C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Based on the least-cost electrification option for rural electrification, Indonesia should focus on connecting remote rural populations by off-grid solar home systems with battery storage. </w:t>
      </w:r>
    </w:p>
    <w:p w14:paraId="24050C0E" w14:textId="77777777" w:rsidR="00A031A6" w:rsidRDefault="00A031A6">
      <w:pPr>
        <w:spacing w:line="360" w:lineRule="auto"/>
        <w:jc w:val="both"/>
        <w:rPr>
          <w:rFonts w:ascii="Arial" w:eastAsia="Arial" w:hAnsi="Arial" w:cs="Arial"/>
          <w:sz w:val="20"/>
          <w:szCs w:val="20"/>
        </w:rPr>
        <w:sectPr w:rsidR="00A031A6">
          <w:type w:val="continuous"/>
          <w:pgSz w:w="11906" w:h="16838"/>
          <w:pgMar w:top="1440" w:right="1440" w:bottom="907" w:left="1440" w:header="709" w:footer="709" w:gutter="0"/>
          <w:cols w:space="720"/>
        </w:sectPr>
      </w:pPr>
    </w:p>
    <w:p w14:paraId="70AC336C" w14:textId="77777777" w:rsidR="00A031A6" w:rsidRDefault="00916FD0">
      <w:pPr>
        <w:pStyle w:val="Heading3"/>
        <w:spacing w:line="240" w:lineRule="auto"/>
        <w:ind w:left="567" w:hanging="567"/>
        <w:rPr>
          <w:sz w:val="22"/>
          <w:szCs w:val="22"/>
        </w:rPr>
      </w:pPr>
      <w:bookmarkStart w:id="90" w:name="_Toc62221425"/>
      <w:r>
        <w:rPr>
          <w:sz w:val="22"/>
          <w:szCs w:val="22"/>
        </w:rPr>
        <w:t>5.3.2. Promoting electric cooking stoves to achieve cost-effective universal access to clean cooking</w:t>
      </w:r>
      <w:bookmarkEnd w:id="90"/>
    </w:p>
    <w:p w14:paraId="193DBB3C" w14:textId="77777777"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lastRenderedPageBreak/>
        <w:t xml:space="preserve">Universal access to clean cooking solutions should be a top priority in Indonesia and this target should be achieved by promoting electric cooking stoves. Policymakers can achieve additional benefits by utilising surplus electricity generation in some networks of Indonesia, e.g., the JAMALI (Java-Madura-Bali) system. </w:t>
      </w:r>
    </w:p>
    <w:p w14:paraId="7044B028" w14:textId="77777777" w:rsidR="00A031A6" w:rsidRDefault="00916FD0">
      <w:pPr>
        <w:spacing w:line="360" w:lineRule="auto"/>
        <w:jc w:val="both"/>
        <w:rPr>
          <w:rFonts w:ascii="Arial" w:eastAsia="Arial" w:hAnsi="Arial" w:cs="Arial"/>
          <w:sz w:val="18"/>
          <w:szCs w:val="18"/>
        </w:rPr>
      </w:pPr>
      <w:r>
        <w:rPr>
          <w:rFonts w:ascii="Arial" w:eastAsia="Arial" w:hAnsi="Arial" w:cs="Arial"/>
          <w:sz w:val="20"/>
          <w:szCs w:val="20"/>
        </w:rPr>
        <w:t>The</w:t>
      </w:r>
      <w:r>
        <w:rPr>
          <w:rFonts w:ascii="Arial" w:eastAsia="Arial" w:hAnsi="Arial" w:cs="Arial"/>
          <w:color w:val="0070C0"/>
          <w:sz w:val="20"/>
          <w:szCs w:val="20"/>
        </w:rPr>
        <w:t xml:space="preserve"> </w:t>
      </w:r>
      <w:r>
        <w:rPr>
          <w:rFonts w:ascii="Arial" w:eastAsia="Arial" w:hAnsi="Arial" w:cs="Arial"/>
          <w:sz w:val="20"/>
          <w:szCs w:val="20"/>
        </w:rPr>
        <w:t>clean cooking technologies are evaluated below.</w:t>
      </w:r>
    </w:p>
    <w:p w14:paraId="1626D3B0" w14:textId="77777777" w:rsidR="00A031A6" w:rsidRDefault="00916FD0">
      <w:pPr>
        <w:spacing w:line="360" w:lineRule="auto"/>
        <w:ind w:left="284"/>
        <w:jc w:val="both"/>
        <w:rPr>
          <w:rFonts w:ascii="Arial" w:eastAsia="Arial" w:hAnsi="Arial" w:cs="Arial"/>
          <w:i/>
          <w:sz w:val="20"/>
          <w:szCs w:val="20"/>
        </w:rPr>
      </w:pPr>
      <w:r>
        <w:rPr>
          <w:rFonts w:ascii="Arial" w:eastAsia="Arial" w:hAnsi="Arial" w:cs="Arial"/>
          <w:i/>
          <w:sz w:val="20"/>
          <w:szCs w:val="20"/>
        </w:rPr>
        <w:t>(a) Improved cooking stove</w:t>
      </w:r>
    </w:p>
    <w:p w14:paraId="6A93C2CE" w14:textId="77777777" w:rsidR="00A031A6" w:rsidRDefault="00916FD0">
      <w:pPr>
        <w:pBdr>
          <w:top w:val="nil"/>
          <w:left w:val="nil"/>
          <w:bottom w:val="nil"/>
          <w:right w:val="nil"/>
          <w:between w:val="nil"/>
        </w:pBdr>
        <w:shd w:val="clear" w:color="auto" w:fill="FFFFFF"/>
        <w:spacing w:line="360" w:lineRule="auto"/>
        <w:ind w:left="284"/>
        <w:jc w:val="both"/>
        <w:rPr>
          <w:rFonts w:ascii="Arial" w:eastAsia="Arial" w:hAnsi="Arial" w:cs="Arial"/>
          <w:color w:val="000000"/>
          <w:sz w:val="20"/>
          <w:szCs w:val="20"/>
        </w:rPr>
      </w:pPr>
      <w:r>
        <w:rPr>
          <w:rFonts w:ascii="Arial" w:eastAsia="Arial" w:hAnsi="Arial" w:cs="Arial"/>
          <w:color w:val="000000"/>
          <w:sz w:val="20"/>
          <w:szCs w:val="20"/>
        </w:rPr>
        <w:t xml:space="preserve">Studies suggest that ICS programmes often have low adoption rates due to the inconvenience of use, preference for traditional cooking stoves, the need for frequent maintenance and repairs etc. ICS programmes initially require strong advocacy to promote adoption, after which they require ongoing follow-up, monitoring, training, maintenance, and repairs in order to ensure continuing usage. </w:t>
      </w:r>
    </w:p>
    <w:p w14:paraId="41A537B2" w14:textId="77777777" w:rsidR="00A031A6" w:rsidRDefault="00916FD0">
      <w:pPr>
        <w:pBdr>
          <w:top w:val="nil"/>
          <w:left w:val="nil"/>
          <w:bottom w:val="nil"/>
          <w:right w:val="nil"/>
          <w:between w:val="nil"/>
        </w:pBdr>
        <w:shd w:val="clear" w:color="auto" w:fill="FFFFFF"/>
        <w:spacing w:line="360" w:lineRule="auto"/>
        <w:ind w:left="284"/>
        <w:jc w:val="both"/>
        <w:rPr>
          <w:rFonts w:ascii="Arial" w:eastAsia="Arial" w:hAnsi="Arial" w:cs="Arial"/>
          <w:color w:val="000000"/>
          <w:sz w:val="20"/>
          <w:szCs w:val="20"/>
        </w:rPr>
      </w:pPr>
      <w:r>
        <w:rPr>
          <w:rFonts w:ascii="Arial" w:eastAsia="Arial" w:hAnsi="Arial" w:cs="Arial"/>
          <w:color w:val="000000"/>
          <w:sz w:val="20"/>
          <w:szCs w:val="20"/>
        </w:rPr>
        <w:t>Based on World Health Organization (WHO) guidelines for emission rates for clean cooking, only certain types of ICS technology comply with these requirements, particularly when considering that cooking stove emissions in the field are often higher than they are in the laboratory used for testing. Based on the need for ongoing follow-up, ICS serves better as a temporary option, but is not best suited as a long-term solution.</w:t>
      </w:r>
    </w:p>
    <w:p w14:paraId="7A567FDA" w14:textId="77777777" w:rsidR="00A031A6" w:rsidRDefault="00916FD0">
      <w:pPr>
        <w:spacing w:line="360" w:lineRule="auto"/>
        <w:ind w:left="284"/>
        <w:jc w:val="both"/>
        <w:rPr>
          <w:rFonts w:ascii="Arial" w:eastAsia="Arial" w:hAnsi="Arial" w:cs="Arial"/>
          <w:i/>
          <w:sz w:val="20"/>
          <w:szCs w:val="20"/>
        </w:rPr>
      </w:pPr>
      <w:r>
        <w:rPr>
          <w:rFonts w:ascii="Arial" w:eastAsia="Arial" w:hAnsi="Arial" w:cs="Arial"/>
          <w:i/>
          <w:sz w:val="20"/>
          <w:szCs w:val="20"/>
        </w:rPr>
        <w:t>(b) Biogas digester</w:t>
      </w:r>
    </w:p>
    <w:p w14:paraId="6373C661" w14:textId="77777777" w:rsidR="00A031A6" w:rsidRDefault="00916FD0">
      <w:pPr>
        <w:spacing w:line="360" w:lineRule="auto"/>
        <w:ind w:left="284"/>
        <w:jc w:val="both"/>
        <w:rPr>
          <w:rFonts w:ascii="Arial" w:eastAsia="Arial" w:hAnsi="Arial" w:cs="Arial"/>
          <w:sz w:val="20"/>
          <w:szCs w:val="20"/>
        </w:rPr>
      </w:pPr>
      <w:r>
        <w:rPr>
          <w:rFonts w:ascii="Arial" w:eastAsia="Arial" w:hAnsi="Arial" w:cs="Arial"/>
          <w:color w:val="000000"/>
          <w:sz w:val="20"/>
          <w:szCs w:val="20"/>
        </w:rPr>
        <w:t>Biogas digesters have high upfront capital costs – about IDR 14.21 million (US$1,000) for a standard size that is suitable for a four-member family – and require a substantial subsidy due to their longer payback period. The technology is not favoured in rural areas due to the cultural aspects of using animal or human waste for cooking. Additionally, a standard size biogas digester requires 2-4 cows, depending on the size of the cow, to produce enough feedstock for daily gas demand for a household.</w:t>
      </w:r>
    </w:p>
    <w:p w14:paraId="6B8E5E90" w14:textId="77777777" w:rsidR="00A031A6" w:rsidRDefault="00916FD0">
      <w:pPr>
        <w:spacing w:line="360" w:lineRule="auto"/>
        <w:ind w:left="284" w:hanging="3"/>
        <w:jc w:val="both"/>
        <w:rPr>
          <w:rFonts w:ascii="Arial" w:eastAsia="Arial" w:hAnsi="Arial" w:cs="Arial"/>
          <w:i/>
          <w:sz w:val="20"/>
          <w:szCs w:val="20"/>
        </w:rPr>
      </w:pPr>
      <w:r>
        <w:rPr>
          <w:rFonts w:ascii="Arial" w:eastAsia="Arial" w:hAnsi="Arial" w:cs="Arial"/>
          <w:i/>
          <w:sz w:val="20"/>
          <w:szCs w:val="20"/>
        </w:rPr>
        <w:t>(c)</w:t>
      </w:r>
      <w:r>
        <w:rPr>
          <w:rFonts w:ascii="Arial" w:eastAsia="Arial" w:hAnsi="Arial" w:cs="Arial"/>
          <w:i/>
          <w:sz w:val="20"/>
          <w:szCs w:val="20"/>
        </w:rPr>
        <w:tab/>
        <w:t>LPG cooking stove</w:t>
      </w:r>
    </w:p>
    <w:p w14:paraId="4FCEA6A8" w14:textId="77777777" w:rsidR="00A031A6" w:rsidRDefault="00916FD0">
      <w:pPr>
        <w:spacing w:line="360" w:lineRule="auto"/>
        <w:ind w:left="284"/>
        <w:jc w:val="both"/>
        <w:rPr>
          <w:rFonts w:ascii="Arial" w:eastAsia="Arial" w:hAnsi="Arial" w:cs="Arial"/>
          <w:sz w:val="20"/>
          <w:szCs w:val="20"/>
        </w:rPr>
      </w:pPr>
      <w:r>
        <w:rPr>
          <w:rFonts w:ascii="Arial" w:eastAsia="Arial" w:hAnsi="Arial" w:cs="Arial"/>
          <w:color w:val="000000"/>
          <w:sz w:val="20"/>
          <w:szCs w:val="20"/>
        </w:rPr>
        <w:t>LPG use in Indonesia is constrained due to distribution challenges in rural areas and the high level of the fossil fuel subsidy. An LPG cooking stove creates lower indoor air pollution compared to ICS and is classified as Level 4 in the World Bank Multi-Tier Framework (MTF).</w:t>
      </w:r>
      <w:r>
        <w:rPr>
          <w:rFonts w:ascii="Arial" w:eastAsia="Arial" w:hAnsi="Arial" w:cs="Arial"/>
          <w:color w:val="000000"/>
          <w:sz w:val="20"/>
          <w:szCs w:val="20"/>
          <w:vertAlign w:val="superscript"/>
        </w:rPr>
        <w:footnoteReference w:id="5"/>
      </w:r>
      <w:r>
        <w:rPr>
          <w:rFonts w:ascii="Arial" w:eastAsia="Arial" w:hAnsi="Arial" w:cs="Arial"/>
          <w:color w:val="000000"/>
          <w:sz w:val="20"/>
          <w:szCs w:val="20"/>
        </w:rPr>
        <w:t xml:space="preserve"> It reduces indoor air pollution by 90 per cent compared with traditional cook stoves. However, as 70 per cent of LPG is imported, promoting LPG utilization will increase import dependency on petroleum fuel in Indonesia. </w:t>
      </w:r>
    </w:p>
    <w:p w14:paraId="45DC6E0C" w14:textId="77777777" w:rsidR="00A031A6" w:rsidRDefault="00916FD0">
      <w:pPr>
        <w:spacing w:line="360" w:lineRule="auto"/>
        <w:ind w:left="284"/>
        <w:jc w:val="both"/>
        <w:rPr>
          <w:rFonts w:ascii="Arial" w:eastAsia="Arial" w:hAnsi="Arial" w:cs="Arial"/>
          <w:i/>
          <w:sz w:val="20"/>
          <w:szCs w:val="20"/>
        </w:rPr>
      </w:pPr>
      <w:r>
        <w:rPr>
          <w:rFonts w:ascii="Arial" w:eastAsia="Arial" w:hAnsi="Arial" w:cs="Arial"/>
          <w:i/>
          <w:sz w:val="20"/>
          <w:szCs w:val="20"/>
        </w:rPr>
        <w:t>(d) Electric cooking stove</w:t>
      </w:r>
    </w:p>
    <w:p w14:paraId="3476953B" w14:textId="77777777" w:rsidR="00A031A6" w:rsidRDefault="00916FD0">
      <w:pPr>
        <w:spacing w:line="360" w:lineRule="auto"/>
        <w:ind w:left="284"/>
        <w:jc w:val="both"/>
        <w:rPr>
          <w:rFonts w:ascii="Arial" w:eastAsia="Arial" w:hAnsi="Arial" w:cs="Arial"/>
          <w:sz w:val="20"/>
          <w:szCs w:val="20"/>
        </w:rPr>
      </w:pPr>
      <w:r>
        <w:rPr>
          <w:rFonts w:ascii="Arial" w:eastAsia="Arial" w:hAnsi="Arial" w:cs="Arial"/>
          <w:color w:val="000000"/>
          <w:sz w:val="20"/>
          <w:szCs w:val="20"/>
        </w:rPr>
        <w:t xml:space="preserve">Indonesia has surplus electricity generation and using this surplus generation to promote electric cooking stoves makes sense. The technology is classed as Level 5 in World Bank MTF for Indoor Air Quality Measurement. Electric cooking stoves are more efficient than other cooking stoves, </w:t>
      </w:r>
      <w:r>
        <w:rPr>
          <w:rFonts w:ascii="Arial" w:eastAsia="Arial" w:hAnsi="Arial" w:cs="Arial"/>
          <w:color w:val="000000"/>
          <w:sz w:val="20"/>
          <w:szCs w:val="20"/>
        </w:rPr>
        <w:lastRenderedPageBreak/>
        <w:t xml:space="preserve">including gas stoves. Electric cooking stoves can generally be divided into two types – solid plate and induction plate. A solid plate cooking stove uses a heating element to pass radiant energy onto the food and reaches about 70 per cent efficiency. An induction plate cooking stove, on the other hand, uses electromagnetic energy to directly heat pots and pans, and can be up to 90 per cent efficient. </w:t>
      </w:r>
    </w:p>
    <w:p w14:paraId="4447CE3A" w14:textId="77777777" w:rsidR="00A031A6" w:rsidRDefault="00916FD0">
      <w:pPr>
        <w:spacing w:line="360" w:lineRule="auto"/>
        <w:ind w:left="142" w:firstLine="142"/>
        <w:jc w:val="both"/>
        <w:rPr>
          <w:rFonts w:ascii="Arial" w:eastAsia="Arial" w:hAnsi="Arial" w:cs="Arial"/>
          <w:i/>
          <w:sz w:val="20"/>
          <w:szCs w:val="20"/>
        </w:rPr>
      </w:pPr>
      <w:r>
        <w:rPr>
          <w:rFonts w:ascii="Arial" w:eastAsia="Arial" w:hAnsi="Arial" w:cs="Arial"/>
          <w:i/>
          <w:sz w:val="20"/>
          <w:szCs w:val="20"/>
        </w:rPr>
        <w:t>(e) Natural gas stove</w:t>
      </w:r>
    </w:p>
    <w:p w14:paraId="11BF6017" w14:textId="77777777" w:rsidR="00A031A6" w:rsidRDefault="00916FD0">
      <w:pPr>
        <w:spacing w:line="360" w:lineRule="auto"/>
        <w:ind w:left="284"/>
        <w:jc w:val="both"/>
        <w:rPr>
          <w:rFonts w:ascii="Arial" w:eastAsia="Arial" w:hAnsi="Arial" w:cs="Arial"/>
          <w:sz w:val="20"/>
          <w:szCs w:val="20"/>
        </w:rPr>
      </w:pPr>
      <w:r>
        <w:rPr>
          <w:rFonts w:ascii="Arial" w:eastAsia="Arial" w:hAnsi="Arial" w:cs="Arial"/>
          <w:sz w:val="20"/>
          <w:szCs w:val="20"/>
        </w:rPr>
        <w:t>Clean cooking with natural gas is not a viable solution for rural households as it would require building a gas distribution infrastructure, which is extremely difficult for remote locations. Table 3 summarizes the annualized cost of different cooking technologies.</w:t>
      </w:r>
      <w:r>
        <w:rPr>
          <w:rFonts w:ascii="Arial" w:eastAsia="Arial" w:hAnsi="Arial" w:cs="Arial"/>
          <w:sz w:val="20"/>
          <w:szCs w:val="20"/>
        </w:rPr>
        <w:tab/>
      </w:r>
      <w:r>
        <w:rPr>
          <w:rFonts w:ascii="Arial" w:eastAsia="Arial" w:hAnsi="Arial" w:cs="Arial"/>
          <w:sz w:val="20"/>
          <w:szCs w:val="20"/>
        </w:rPr>
        <w:tab/>
      </w:r>
    </w:p>
    <w:p w14:paraId="75D5FDBC"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rPr>
      </w:pPr>
      <w:bookmarkStart w:id="91" w:name="_1gf8i83" w:colFirst="0" w:colLast="0"/>
      <w:bookmarkEnd w:id="91"/>
      <w:r>
        <w:rPr>
          <w:rFonts w:ascii="Arial" w:eastAsia="Arial" w:hAnsi="Arial" w:cs="Arial"/>
          <w:b/>
          <w:color w:val="000000"/>
          <w:sz w:val="20"/>
          <w:szCs w:val="20"/>
        </w:rPr>
        <w:t>Table 3. Annualized cost of cooking technologies</w:t>
      </w:r>
    </w:p>
    <w:tbl>
      <w:tblPr>
        <w:tblStyle w:val="a3"/>
        <w:tblW w:w="9023" w:type="dxa"/>
        <w:tblLayout w:type="fixed"/>
        <w:tblLook w:val="0400" w:firstRow="0" w:lastRow="0" w:firstColumn="0" w:lastColumn="0" w:noHBand="0" w:noVBand="1"/>
      </w:tblPr>
      <w:tblGrid>
        <w:gridCol w:w="4558"/>
        <w:gridCol w:w="4465"/>
      </w:tblGrid>
      <w:tr w:rsidR="00A031A6" w14:paraId="3E4CAA9A" w14:textId="77777777">
        <w:trPr>
          <w:trHeight w:val="369"/>
        </w:trPr>
        <w:tc>
          <w:tcPr>
            <w:tcW w:w="4558" w:type="dxa"/>
            <w:tcBorders>
              <w:top w:val="single" w:sz="4" w:space="0" w:color="000000"/>
              <w:left w:val="single" w:sz="4" w:space="0" w:color="000000"/>
              <w:bottom w:val="single" w:sz="8" w:space="0" w:color="000000"/>
              <w:right w:val="single" w:sz="4" w:space="0" w:color="000000"/>
            </w:tcBorders>
            <w:shd w:val="clear" w:color="auto" w:fill="00B0F0"/>
            <w:vAlign w:val="center"/>
          </w:tcPr>
          <w:p w14:paraId="2D741C05" w14:textId="77777777" w:rsidR="00A031A6" w:rsidRDefault="00916FD0">
            <w:pPr>
              <w:rPr>
                <w:rFonts w:ascii="Arial" w:eastAsia="Arial" w:hAnsi="Arial" w:cs="Arial"/>
                <w:b/>
                <w:color w:val="FFFFFF"/>
                <w:sz w:val="20"/>
                <w:szCs w:val="20"/>
              </w:rPr>
            </w:pPr>
            <w:r>
              <w:rPr>
                <w:rFonts w:ascii="Arial" w:eastAsia="Arial" w:hAnsi="Arial" w:cs="Arial"/>
                <w:b/>
                <w:color w:val="FFFFFF"/>
                <w:sz w:val="20"/>
                <w:szCs w:val="20"/>
              </w:rPr>
              <w:t>Technology</w:t>
            </w:r>
          </w:p>
        </w:tc>
        <w:tc>
          <w:tcPr>
            <w:tcW w:w="4465" w:type="dxa"/>
            <w:tcBorders>
              <w:top w:val="single" w:sz="4" w:space="0" w:color="000000"/>
              <w:left w:val="single" w:sz="4" w:space="0" w:color="000000"/>
              <w:bottom w:val="single" w:sz="8" w:space="0" w:color="000000"/>
              <w:right w:val="single" w:sz="4" w:space="0" w:color="000000"/>
            </w:tcBorders>
            <w:shd w:val="clear" w:color="auto" w:fill="00B0F0"/>
            <w:vAlign w:val="center"/>
          </w:tcPr>
          <w:p w14:paraId="5A63B612" w14:textId="77777777" w:rsidR="00A031A6" w:rsidRDefault="00916FD0">
            <w:pPr>
              <w:jc w:val="center"/>
              <w:rPr>
                <w:rFonts w:ascii="Arial" w:eastAsia="Arial" w:hAnsi="Arial" w:cs="Arial"/>
                <w:b/>
                <w:color w:val="FFFFFF"/>
                <w:sz w:val="20"/>
                <w:szCs w:val="20"/>
              </w:rPr>
            </w:pPr>
            <w:r>
              <w:rPr>
                <w:rFonts w:ascii="Arial" w:eastAsia="Arial" w:hAnsi="Arial" w:cs="Arial"/>
                <w:b/>
                <w:color w:val="FFFFFF"/>
                <w:sz w:val="20"/>
                <w:szCs w:val="20"/>
              </w:rPr>
              <w:t>Annualized cost</w:t>
            </w:r>
          </w:p>
        </w:tc>
      </w:tr>
      <w:tr w:rsidR="00A031A6" w14:paraId="76A0481A" w14:textId="77777777">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14:paraId="1E39BC86"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ICS</w:t>
            </w:r>
          </w:p>
        </w:tc>
        <w:tc>
          <w:tcPr>
            <w:tcW w:w="4465" w:type="dxa"/>
            <w:tcBorders>
              <w:top w:val="single" w:sz="4" w:space="0" w:color="000000"/>
              <w:left w:val="single" w:sz="4" w:space="0" w:color="000000"/>
              <w:bottom w:val="single" w:sz="4" w:space="0" w:color="000000"/>
              <w:right w:val="single" w:sz="4" w:space="0" w:color="000000"/>
            </w:tcBorders>
            <w:vAlign w:val="center"/>
          </w:tcPr>
          <w:p w14:paraId="28022DB5"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412,090 (US$29)</w:t>
            </w:r>
          </w:p>
        </w:tc>
      </w:tr>
      <w:tr w:rsidR="00A031A6" w14:paraId="4D677BFF" w14:textId="77777777">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14:paraId="7DFAF4FE"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Electric stove</w:t>
            </w:r>
          </w:p>
        </w:tc>
        <w:tc>
          <w:tcPr>
            <w:tcW w:w="4465" w:type="dxa"/>
            <w:tcBorders>
              <w:top w:val="single" w:sz="4" w:space="0" w:color="000000"/>
              <w:left w:val="single" w:sz="4" w:space="0" w:color="000000"/>
              <w:bottom w:val="single" w:sz="4" w:space="0" w:color="000000"/>
              <w:right w:val="single" w:sz="4" w:space="0" w:color="000000"/>
            </w:tcBorders>
            <w:vAlign w:val="center"/>
          </w:tcPr>
          <w:p w14:paraId="1F95B5AD"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838,390 (US$59)</w:t>
            </w:r>
          </w:p>
        </w:tc>
      </w:tr>
      <w:tr w:rsidR="00A031A6" w14:paraId="4EC38268" w14:textId="77777777">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14:paraId="160CD0C9"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LPG stove</w:t>
            </w:r>
          </w:p>
        </w:tc>
        <w:tc>
          <w:tcPr>
            <w:tcW w:w="4465" w:type="dxa"/>
            <w:tcBorders>
              <w:top w:val="single" w:sz="4" w:space="0" w:color="000000"/>
              <w:left w:val="single" w:sz="4" w:space="0" w:color="000000"/>
              <w:bottom w:val="single" w:sz="4" w:space="0" w:color="000000"/>
              <w:right w:val="single" w:sz="4" w:space="0" w:color="000000"/>
            </w:tcBorders>
            <w:vAlign w:val="center"/>
          </w:tcPr>
          <w:p w14:paraId="04B27F1F"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866,810 (US$61)</w:t>
            </w:r>
          </w:p>
        </w:tc>
      </w:tr>
      <w:tr w:rsidR="00A031A6" w14:paraId="16F93057" w14:textId="77777777">
        <w:trPr>
          <w:trHeight w:val="369"/>
        </w:trPr>
        <w:tc>
          <w:tcPr>
            <w:tcW w:w="4558" w:type="dxa"/>
            <w:tcBorders>
              <w:top w:val="single" w:sz="4" w:space="0" w:color="000000"/>
              <w:left w:val="single" w:sz="4" w:space="0" w:color="000000"/>
              <w:bottom w:val="single" w:sz="4" w:space="0" w:color="000000"/>
              <w:right w:val="single" w:sz="4" w:space="0" w:color="000000"/>
            </w:tcBorders>
            <w:vAlign w:val="center"/>
          </w:tcPr>
          <w:p w14:paraId="3D6EA7D3"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Biogas digester</w:t>
            </w:r>
          </w:p>
        </w:tc>
        <w:tc>
          <w:tcPr>
            <w:tcW w:w="4465" w:type="dxa"/>
            <w:tcBorders>
              <w:top w:val="single" w:sz="4" w:space="0" w:color="000000"/>
              <w:left w:val="single" w:sz="4" w:space="0" w:color="000000"/>
              <w:bottom w:val="single" w:sz="4" w:space="0" w:color="000000"/>
              <w:right w:val="single" w:sz="4" w:space="0" w:color="000000"/>
            </w:tcBorders>
            <w:vAlign w:val="center"/>
          </w:tcPr>
          <w:p w14:paraId="59290D89"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IDR 1,833,090 (US$129)</w:t>
            </w:r>
          </w:p>
        </w:tc>
      </w:tr>
    </w:tbl>
    <w:p w14:paraId="70C03ED6" w14:textId="77777777" w:rsidR="00A031A6" w:rsidRDefault="00A031A6">
      <w:pPr>
        <w:spacing w:line="360" w:lineRule="auto"/>
        <w:jc w:val="both"/>
        <w:rPr>
          <w:rFonts w:ascii="Arial" w:eastAsia="Arial" w:hAnsi="Arial" w:cs="Arial"/>
          <w:sz w:val="20"/>
          <w:szCs w:val="20"/>
        </w:rPr>
      </w:pPr>
    </w:p>
    <w:p w14:paraId="1A3791A7" w14:textId="77777777" w:rsidR="00A031A6" w:rsidRDefault="00916FD0">
      <w:pPr>
        <w:pStyle w:val="Heading3"/>
        <w:ind w:left="567" w:hanging="567"/>
        <w:rPr>
          <w:sz w:val="22"/>
          <w:szCs w:val="22"/>
        </w:rPr>
      </w:pPr>
      <w:bookmarkStart w:id="92" w:name="_Toc62221426"/>
      <w:r>
        <w:rPr>
          <w:sz w:val="22"/>
          <w:szCs w:val="22"/>
        </w:rPr>
        <w:t>5.3.3. Energy efficiency improvement offers significant cost-saving</w:t>
      </w:r>
      <w:bookmarkEnd w:id="92"/>
      <w:r>
        <w:rPr>
          <w:sz w:val="22"/>
          <w:szCs w:val="22"/>
        </w:rPr>
        <w:t xml:space="preserve"> </w:t>
      </w:r>
    </w:p>
    <w:p w14:paraId="60DB7B86" w14:textId="77777777"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t>Energy efficiency policies across sectors can help achieve substantial energy savings by reducing the need for investment in energy infrastructure, fuel costs and vulnerability to fossil fuel prices. Policymakers should improve the energy efficiency strategy by including well-defined best practice policies, implementation timelines and enforcement.</w:t>
      </w:r>
    </w:p>
    <w:p w14:paraId="5F1EA4EF"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Achievement of the SDG 7 target of 2.39 MJ/US$ by 2030, will require 1.53 per cent reduction in energy intensity per year, up to 2030. This equates with reducing TFEC by 158 MBOE by 2030. The NEXSTEP analysis identified the following measures for supporting this reduction cost-effectively:</w:t>
      </w:r>
    </w:p>
    <w:p w14:paraId="35AA5C30" w14:textId="77777777" w:rsidR="00A031A6" w:rsidRDefault="00916FD0">
      <w:pPr>
        <w:numPr>
          <w:ilvl w:val="0"/>
          <w:numId w:val="19"/>
        </w:numPr>
        <w:pBdr>
          <w:top w:val="nil"/>
          <w:left w:val="nil"/>
          <w:bottom w:val="nil"/>
          <w:right w:val="nil"/>
          <w:between w:val="nil"/>
        </w:pBdr>
        <w:spacing w:after="0" w:line="360" w:lineRule="auto"/>
        <w:ind w:hanging="167"/>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6"/>
      </w:r>
      <w:r>
        <w:rPr>
          <w:rFonts w:ascii="Arial" w:eastAsia="Arial" w:hAnsi="Arial" w:cs="Arial"/>
          <w:color w:val="000000"/>
          <w:sz w:val="20"/>
          <w:szCs w:val="20"/>
        </w:rPr>
        <w:t xml:space="preserve"> of passenger buses to electric buses by 2030, saving 55 million barrels of oil equivalent (BOE) annually;</w:t>
      </w:r>
    </w:p>
    <w:p w14:paraId="639F5E79" w14:textId="77777777" w:rsidR="00A031A6" w:rsidRDefault="00916FD0">
      <w:pPr>
        <w:numPr>
          <w:ilvl w:val="0"/>
          <w:numId w:val="19"/>
        </w:numPr>
        <w:pBdr>
          <w:top w:val="nil"/>
          <w:left w:val="nil"/>
          <w:bottom w:val="nil"/>
          <w:right w:val="nil"/>
          <w:between w:val="nil"/>
        </w:pBdr>
        <w:spacing w:after="0" w:line="360" w:lineRule="auto"/>
        <w:ind w:hanging="167"/>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73F83B45" w14:textId="77777777" w:rsidR="00A031A6" w:rsidRDefault="00916FD0">
      <w:pPr>
        <w:numPr>
          <w:ilvl w:val="0"/>
          <w:numId w:val="19"/>
        </w:numPr>
        <w:pBdr>
          <w:top w:val="nil"/>
          <w:left w:val="nil"/>
          <w:bottom w:val="nil"/>
          <w:right w:val="nil"/>
          <w:between w:val="nil"/>
        </w:pBdr>
        <w:spacing w:after="0" w:line="360" w:lineRule="auto"/>
        <w:ind w:hanging="152"/>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1506B4D0" w14:textId="77777777" w:rsidR="00A031A6" w:rsidRDefault="00916FD0">
      <w:pPr>
        <w:numPr>
          <w:ilvl w:val="0"/>
          <w:numId w:val="19"/>
        </w:numPr>
        <w:pBdr>
          <w:top w:val="nil"/>
          <w:left w:val="nil"/>
          <w:bottom w:val="nil"/>
          <w:right w:val="nil"/>
          <w:between w:val="nil"/>
        </w:pBdr>
        <w:spacing w:after="0" w:line="360" w:lineRule="auto"/>
        <w:ind w:hanging="152"/>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7"/>
      </w:r>
      <w:r>
        <w:rPr>
          <w:rFonts w:ascii="Arial" w:eastAsia="Arial" w:hAnsi="Arial" w:cs="Arial"/>
          <w:color w:val="000000"/>
          <w:sz w:val="20"/>
          <w:szCs w:val="20"/>
        </w:rPr>
        <w:t xml:space="preserve"> of passenger cars to electric cars by 2030, saving 24 million BOE annually;</w:t>
      </w:r>
    </w:p>
    <w:p w14:paraId="3D535506" w14:textId="77777777" w:rsidR="00A031A6" w:rsidRDefault="00916FD0">
      <w:pPr>
        <w:numPr>
          <w:ilvl w:val="0"/>
          <w:numId w:val="19"/>
        </w:numPr>
        <w:pBdr>
          <w:top w:val="nil"/>
          <w:left w:val="nil"/>
          <w:bottom w:val="nil"/>
          <w:right w:val="nil"/>
          <w:between w:val="nil"/>
        </w:pBdr>
        <w:spacing w:after="0" w:line="360" w:lineRule="auto"/>
        <w:ind w:hanging="140"/>
        <w:jc w:val="both"/>
        <w:rPr>
          <w:color w:val="000000"/>
          <w:sz w:val="20"/>
          <w:szCs w:val="20"/>
        </w:rPr>
      </w:pPr>
      <w:r>
        <w:rPr>
          <w:rFonts w:ascii="Arial" w:eastAsia="Arial" w:hAnsi="Arial" w:cs="Arial"/>
          <w:color w:val="000000"/>
          <w:sz w:val="20"/>
          <w:szCs w:val="20"/>
        </w:rPr>
        <w:t>Introduce MEPS for all new lights from 2022 onwards to reduce CFL 14W to CFL 11W, saving 2 million BOE annually;</w:t>
      </w:r>
    </w:p>
    <w:p w14:paraId="40F18944" w14:textId="77777777" w:rsidR="00A031A6" w:rsidRDefault="00916FD0">
      <w:pPr>
        <w:numPr>
          <w:ilvl w:val="0"/>
          <w:numId w:val="19"/>
        </w:numPr>
        <w:pBdr>
          <w:top w:val="nil"/>
          <w:left w:val="nil"/>
          <w:bottom w:val="nil"/>
          <w:right w:val="nil"/>
          <w:between w:val="nil"/>
        </w:pBdr>
        <w:spacing w:after="0" w:line="360" w:lineRule="auto"/>
        <w:ind w:hanging="224"/>
        <w:jc w:val="both"/>
        <w:rPr>
          <w:color w:val="000000"/>
          <w:sz w:val="20"/>
          <w:szCs w:val="20"/>
        </w:rPr>
      </w:pPr>
      <w:r>
        <w:rPr>
          <w:rFonts w:ascii="Arial" w:eastAsia="Arial" w:hAnsi="Arial" w:cs="Arial"/>
          <w:color w:val="000000"/>
          <w:sz w:val="20"/>
          <w:szCs w:val="20"/>
        </w:rPr>
        <w:t xml:space="preserve">Introduce MEPS for all new air-conditioners from 2022 onwards, saving 4 million BOE annually; </w:t>
      </w:r>
    </w:p>
    <w:p w14:paraId="0D2BD77D" w14:textId="77777777" w:rsidR="00A031A6" w:rsidRDefault="00916FD0">
      <w:pPr>
        <w:numPr>
          <w:ilvl w:val="0"/>
          <w:numId w:val="19"/>
        </w:numPr>
        <w:pBdr>
          <w:top w:val="nil"/>
          <w:left w:val="nil"/>
          <w:bottom w:val="nil"/>
          <w:right w:val="nil"/>
          <w:between w:val="nil"/>
        </w:pBdr>
        <w:spacing w:line="360" w:lineRule="auto"/>
        <w:ind w:hanging="196"/>
        <w:jc w:val="both"/>
        <w:rPr>
          <w:color w:val="000000"/>
          <w:sz w:val="20"/>
          <w:szCs w:val="20"/>
        </w:rPr>
      </w:pPr>
      <w:r>
        <w:rPr>
          <w:rFonts w:ascii="Arial" w:eastAsia="Arial" w:hAnsi="Arial" w:cs="Arial"/>
          <w:color w:val="000000"/>
          <w:sz w:val="20"/>
          <w:szCs w:val="20"/>
        </w:rPr>
        <w:lastRenderedPageBreak/>
        <w:t>Switch from traditional cooking to clean cooking (electric cooking stove), saving 10 million BOE annually.</w:t>
      </w:r>
    </w:p>
    <w:p w14:paraId="65F68B7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efficiency measures in the NEXSTEP model are applied at the end-use level to estimate savings from measures such as Minimum Energy Performance Standards (MEPS), efficient cooking stove adoption, electrification of transport, improving fuel economy standards and industrial energy efficiency measures.</w:t>
      </w:r>
    </w:p>
    <w:p w14:paraId="3E50F86C"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MEPS is a policy instrument used to promote energy efficiency by banning the poor-performing appliances from the market, thereby forcing manufacturers to introduce innovation and consumers to adopt energy efficient appliances. In 1998, the Government of Japan launched “The Top Runner programme” for energy efficiency standards across 21 products. As a result, energy efficiency standards were met or exceeded across all 21 products, with benefits such as cost savings and GHG reduction due to reduced energy consumption.  In the NEXSTEP analysis, the implementation of MEPS has been modelled from 2022 onwards to provide policymakers with time to prime the market participants. A stock turnover analysis was completed to model appliance uptake and energy savings from this measure (Annex VII).</w:t>
      </w:r>
    </w:p>
    <w:p w14:paraId="435716C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cement industry in Indonesia is of strategic importance to supporting national infrastructure projects, rural development and housing initiatives. In 2018, the cement industry production capacity was 109.9 million tons annually while domestic consumption was 69.6 million tons. This indicates that there is significant over-capacity of about 30 per cent, which can used to increase cement exports. Indonesia’s cement industry is energy-intensive, with energy consumption of 66.9 MBOE, and relied heavily on coal (90 per cent of fuel mix) in 2018. There are significant opportunities for reducing energy consumption in clinker production by replacing the existing wet process with thermal energy intensity of 3.6 GJ/ton with the best available technique of pre-heating, pre-calciner kilns 2.9 GJ/ton.</w:t>
      </w:r>
    </w:p>
    <w:p w14:paraId="7F12D94A" w14:textId="77777777" w:rsidR="00A031A6" w:rsidRDefault="00916FD0">
      <w:pPr>
        <w:pStyle w:val="Heading3"/>
        <w:ind w:left="567" w:hanging="567"/>
      </w:pPr>
      <w:bookmarkStart w:id="93" w:name="_Toc62221427"/>
      <w:r>
        <w:t>5.3.4. Multi-sectoral approach needed to achieve the renewable energy target</w:t>
      </w:r>
      <w:bookmarkEnd w:id="93"/>
    </w:p>
    <w:p w14:paraId="1126E0C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SDG 7 target for renewable energy does not specify any quantitative target – it suggests substantially increasing the share of renewable energy in TFEC by 2030. The NEXSTEP methodology employs an integrated and logical approach to estimating a target that would not only help achieve the SDG 7 targets but also support the achievement of NDC. Based on this approach, NEXSTEP estimates that the share of renewable energy in TFEC would need to be 22.9 per cent in 2030, which is in line with Indonesia’s current 23 per cent target; however, Indonesia’s target  is primary energy and not final energy). In terms of TPES, the renewable energy share would need to be 32.6 per cent. </w:t>
      </w:r>
    </w:p>
    <w:p w14:paraId="1B89CD32" w14:textId="77777777" w:rsidR="00A031A6" w:rsidRDefault="00916FD0">
      <w:pPr>
        <w:spacing w:line="360" w:lineRule="auto"/>
        <w:jc w:val="both"/>
        <w:rPr>
          <w:rFonts w:ascii="Arial" w:eastAsia="Arial" w:hAnsi="Arial" w:cs="Arial"/>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The current trend suggests that Indonesia will fall short of this target and will only reach 16.4 per cent in TFEC under the current policy scenario. Therefore, a significant step up is necessary to bridge the gap. The major increase will need to be in the power sector. In terms of technology mix for renewable energy electric power generation, the share of generation will be geothermal (47 per cent) followed by biomass (27 per cent), hydro (15 per cent) and solar (11 per cent).</w:t>
      </w:r>
    </w:p>
    <w:p w14:paraId="1091B2A9" w14:textId="77777777" w:rsidR="00A031A6" w:rsidRDefault="00916FD0">
      <w:pPr>
        <w:pStyle w:val="Heading3"/>
        <w:ind w:left="567" w:hanging="567"/>
        <w:rPr>
          <w:sz w:val="22"/>
          <w:szCs w:val="22"/>
        </w:rPr>
      </w:pPr>
      <w:bookmarkStart w:id="94" w:name="_Toc62221428"/>
      <w:r>
        <w:rPr>
          <w:sz w:val="22"/>
          <w:szCs w:val="22"/>
        </w:rPr>
        <w:t>5.3.5. Investment in the power sector is needed for the energy transition</w:t>
      </w:r>
      <w:bookmarkEnd w:id="94"/>
      <w:r>
        <w:rPr>
          <w:sz w:val="22"/>
          <w:szCs w:val="22"/>
        </w:rPr>
        <w:t xml:space="preserve"> </w:t>
      </w:r>
    </w:p>
    <w:p w14:paraId="407FB96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The total investment required in the power sector to achieve the BAU scenario in Indonesia would be IDR 1,464 trillion (US$103 billion) in the next 10 years, which will be, on average, IDR 146 trillion (US$10 billion) per year. The CP scenario will require IDR 1,734 trillion (US$122 billion) in investment, due to the increase in renewables (Figure 21).</w:t>
      </w:r>
    </w:p>
    <w:p w14:paraId="7EF8DDF0" w14:textId="77777777" w:rsidR="00A031A6" w:rsidRDefault="00916FD0">
      <w:pPr>
        <w:spacing w:after="120" w:line="360" w:lineRule="auto"/>
        <w:ind w:left="266" w:right="249"/>
        <w:jc w:val="center"/>
        <w:rPr>
          <w:rFonts w:ascii="Arial" w:eastAsia="Arial" w:hAnsi="Arial" w:cs="Arial"/>
          <w:b/>
          <w:sz w:val="20"/>
          <w:szCs w:val="20"/>
        </w:rPr>
      </w:pPr>
      <w:bookmarkStart w:id="95" w:name="_3ep43zb" w:colFirst="0" w:colLast="0"/>
      <w:bookmarkEnd w:id="95"/>
      <w:r>
        <w:rPr>
          <w:rFonts w:ascii="Arial" w:eastAsia="Arial" w:hAnsi="Arial" w:cs="Arial"/>
          <w:b/>
          <w:sz w:val="20"/>
          <w:szCs w:val="20"/>
        </w:rPr>
        <w:t>Figure 17. Investment cost of energy transition in the power sector in different scenarios</w:t>
      </w:r>
    </w:p>
    <w:p w14:paraId="2C673680" w14:textId="77777777" w:rsidR="00A031A6" w:rsidRDefault="00916FD0">
      <w:pPr>
        <w:spacing w:after="120" w:line="360" w:lineRule="auto"/>
        <w:ind w:right="249"/>
        <w:jc w:val="center"/>
        <w:rPr>
          <w:rFonts w:ascii="Arial" w:eastAsia="Arial" w:hAnsi="Arial" w:cs="Arial"/>
          <w:b/>
          <w:sz w:val="20"/>
          <w:szCs w:val="20"/>
        </w:rPr>
      </w:pPr>
      <w:r>
        <w:rPr>
          <w:noProof/>
        </w:rPr>
        <w:drawing>
          <wp:inline distT="0" distB="0" distL="0" distR="0" wp14:anchorId="30A7BBF4" wp14:editId="2DE253B6">
            <wp:extent cx="5760000" cy="25200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760000" cy="2520000"/>
                    </a:xfrm>
                    <a:prstGeom prst="rect">
                      <a:avLst/>
                    </a:prstGeom>
                    <a:ln/>
                  </pic:spPr>
                </pic:pic>
              </a:graphicData>
            </a:graphic>
          </wp:inline>
        </w:drawing>
      </w:r>
    </w:p>
    <w:p w14:paraId="0EA29F2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investment requirements for Indonesia’s SDG scenario is explained: access to electricity requires zero additional funding, and by switching to an off-grid solar home system with battery storage for rural electrification Indonesia can save IDR 0.4 trillion (US$ 30 million) by 2030. Access to clean cooking fuels and technologies requires additional investment of IDR 9.77 trillion (US$ 688 million) by 2030. Renewable energy investments in the power sector would be IDR 2,473 trillion (US$174 billion) by 2030. Achievement of energy efficiency will provide a net financial saving</w:t>
      </w:r>
      <w:r>
        <w:rPr>
          <w:rFonts w:ascii="Arial" w:eastAsia="Arial" w:hAnsi="Arial" w:cs="Arial"/>
          <w:sz w:val="20"/>
          <w:szCs w:val="20"/>
          <w:vertAlign w:val="superscript"/>
        </w:rPr>
        <w:footnoteReference w:id="8"/>
      </w:r>
      <w:r>
        <w:rPr>
          <w:rFonts w:ascii="Arial" w:eastAsia="Arial" w:hAnsi="Arial" w:cs="Arial"/>
          <w:sz w:val="20"/>
          <w:szCs w:val="20"/>
        </w:rPr>
        <w:t xml:space="preserve"> (excluding electric vehicles) of more than IDR 460 trillion (US$32 billion) by 2030 and will help reduce the overall investment needed. In the SDG scenario, the investment requirement would be IDR 203 trillion (US$14 billion) annually i.e., IDR 2,030 trillion (US$140 billion) by 2030, which is annually IDR 28 trillion (US$2 billion) in addition to the investment needed for the current policy scenario. </w:t>
      </w:r>
    </w:p>
    <w:p w14:paraId="0FC035B2" w14:textId="77777777" w:rsidR="00A031A6" w:rsidRDefault="00916FD0">
      <w:pPr>
        <w:spacing w:after="120" w:line="240" w:lineRule="auto"/>
        <w:jc w:val="center"/>
        <w:rPr>
          <w:rFonts w:ascii="Arial" w:eastAsia="Arial" w:hAnsi="Arial" w:cs="Arial"/>
          <w:b/>
          <w:sz w:val="20"/>
          <w:szCs w:val="20"/>
        </w:rPr>
      </w:pPr>
      <w:bookmarkStart w:id="96" w:name="_1tuee74" w:colFirst="0" w:colLast="0"/>
      <w:bookmarkEnd w:id="96"/>
      <w:r>
        <w:rPr>
          <w:rFonts w:ascii="Arial" w:eastAsia="Arial" w:hAnsi="Arial" w:cs="Arial"/>
          <w:b/>
          <w:sz w:val="20"/>
          <w:szCs w:val="20"/>
        </w:rPr>
        <w:t>Figure 18. Additional annual investment for different targets in the SDG scenario</w:t>
      </w:r>
    </w:p>
    <w:p w14:paraId="5BD8ACAD" w14:textId="77777777" w:rsidR="00A031A6" w:rsidRDefault="00916FD0">
      <w:pPr>
        <w:spacing w:line="360" w:lineRule="auto"/>
        <w:jc w:val="both"/>
        <w:rPr>
          <w:rFonts w:ascii="Arial" w:eastAsia="Arial" w:hAnsi="Arial" w:cs="Arial"/>
          <w:sz w:val="20"/>
          <w:szCs w:val="20"/>
        </w:rPr>
      </w:pPr>
      <w:r>
        <w:rPr>
          <w:noProof/>
        </w:rPr>
        <w:lastRenderedPageBreak/>
        <w:drawing>
          <wp:inline distT="0" distB="0" distL="0" distR="0" wp14:anchorId="5EB23F50" wp14:editId="7733C3DD">
            <wp:extent cx="5759450" cy="2519680"/>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5759450" cy="2519680"/>
                    </a:xfrm>
                    <a:prstGeom prst="rect">
                      <a:avLst/>
                    </a:prstGeom>
                    <a:ln/>
                  </pic:spPr>
                </pic:pic>
              </a:graphicData>
            </a:graphic>
          </wp:inline>
        </w:drawing>
      </w:r>
    </w:p>
    <w:p w14:paraId="22655FD6" w14:textId="77777777" w:rsidR="00A031A6" w:rsidRDefault="00916FD0">
      <w:pPr>
        <w:pStyle w:val="Heading3"/>
        <w:ind w:left="426" w:hanging="426"/>
        <w:rPr>
          <w:sz w:val="22"/>
          <w:szCs w:val="22"/>
        </w:rPr>
      </w:pPr>
      <w:bookmarkStart w:id="97" w:name="_Toc62221429"/>
      <w:r>
        <w:rPr>
          <w:sz w:val="22"/>
          <w:szCs w:val="22"/>
        </w:rPr>
        <w:t>5.3.6. Net benefits in the power sector</w:t>
      </w:r>
      <w:bookmarkEnd w:id="97"/>
    </w:p>
    <w:p w14:paraId="261A594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net benefits in power generation are calculated by using capital costs, operation and maintenance costs (fixed and variable), fuel costs and externality cost (only when the carbon price is applied). The net cost is calculated by subtracting the cost of generation from the revenue earned by supplying the electricity. The net benefits from the BAU scenario will be IDR 3,055 trillion (US$215 billion) and IDR 3,297 trillion (US$232 billion) in the current policy scenario, by 2030 (Figure 23). The SDG scenario will provide a net benefit of IDR 5,130 trillion (US$361 billion) in the power sector by 2030.</w:t>
      </w:r>
    </w:p>
    <w:p w14:paraId="5BE0C087"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98" w:name="_2szc72q" w:colFirst="0" w:colLast="0"/>
      <w:bookmarkEnd w:id="98"/>
      <w:r>
        <w:rPr>
          <w:rFonts w:ascii="Arial" w:eastAsia="Arial" w:hAnsi="Arial" w:cs="Arial"/>
          <w:b/>
          <w:color w:val="000000"/>
          <w:sz w:val="20"/>
          <w:szCs w:val="20"/>
        </w:rPr>
        <w:t>Figure 19. Net benefits from the power sector</w:t>
      </w:r>
    </w:p>
    <w:p w14:paraId="5846E7EA" w14:textId="77777777" w:rsidR="00A031A6" w:rsidRDefault="00916FD0">
      <w:r>
        <w:rPr>
          <w:noProof/>
        </w:rPr>
        <w:drawing>
          <wp:inline distT="0" distB="0" distL="0" distR="0" wp14:anchorId="17EDF364" wp14:editId="1E9F11C8">
            <wp:extent cx="5760000" cy="2520000"/>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5760000" cy="2520000"/>
                    </a:xfrm>
                    <a:prstGeom prst="rect">
                      <a:avLst/>
                    </a:prstGeom>
                    <a:ln/>
                  </pic:spPr>
                </pic:pic>
              </a:graphicData>
            </a:graphic>
          </wp:inline>
        </w:drawing>
      </w:r>
    </w:p>
    <w:p w14:paraId="333BD2ED" w14:textId="77777777" w:rsidR="00A031A6" w:rsidRDefault="00916FD0">
      <w:pPr>
        <w:pStyle w:val="Heading3"/>
        <w:ind w:hanging="716"/>
        <w:rPr>
          <w:sz w:val="22"/>
          <w:szCs w:val="22"/>
        </w:rPr>
      </w:pPr>
      <w:bookmarkStart w:id="99" w:name="_Toc62221430"/>
      <w:r>
        <w:rPr>
          <w:sz w:val="22"/>
          <w:szCs w:val="22"/>
        </w:rPr>
        <w:t>5.3.7. Renewables are cheaper than fossil fuel</w:t>
      </w:r>
      <w:bookmarkEnd w:id="99"/>
    </w:p>
    <w:p w14:paraId="19179C8D"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Levelized Cost of Electricity (LCOE) is a widely used metric in the energy industry for comparing the economic value of different electricity generation technologies. It calculates the unit cost of electricity (US$/MWh) over the lifetime of the project, including capital, operating and financing costs. </w:t>
      </w:r>
    </w:p>
    <w:p w14:paraId="39DD878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LCOE method sums up the lifetime costs of an energy system divided by the lifetime energy generation. LCOE is a measure of the cost-competitiveness of different electricity generation </w:t>
      </w:r>
      <w:r>
        <w:rPr>
          <w:rFonts w:ascii="Arial" w:eastAsia="Arial" w:hAnsi="Arial" w:cs="Arial"/>
          <w:sz w:val="20"/>
          <w:szCs w:val="20"/>
        </w:rPr>
        <w:lastRenderedPageBreak/>
        <w:t xml:space="preserve">technologies. LCOE is measured using the lifecycle cost of a system and therefore balances out the disparity where some technologies have a high capital cost but low operating cost, whereas the other technologies have low capital cost and high operating cost. </w:t>
      </w:r>
    </w:p>
    <w:p w14:paraId="02A4B8E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NEXSTEP has calculated LCOE for Indonesia (Figure 20) using cost figures published by the Indonesian Government in the Technology Data for Indonesian Power Sector report (National Energy Council (DEN) and Danish Energy Agency, 2017) (some cost figures have been updated to reflect the recent changes in the market price). This makes LCOEs entirely reflective of the national context of Indonesia. The LCOE component analysis highlights renewable electricity generation technologies e.g. solar Photovoltaic (39.40 US$/MWh), geothermal (41.78 US$/MWh), Hydro (50.83 US$/MWh) and onshore wind (52.38 US$/MWh) are cheaper than coal-fired generation technologies today in Indonesia. The results from the LCOE analysis are comparable with analyses done by others; for example, LAZARD LCOE analysis 13.0 gives a range of US$ 32-42 /MWh for utility-scale solar photovoltaic, while the IRENA Renewable Power Generation 2019 LCOE for onshore wind  is 53 US$/MWh.  </w:t>
      </w:r>
    </w:p>
    <w:p w14:paraId="04576479" w14:textId="77777777" w:rsidR="00A031A6" w:rsidRDefault="00A031A6">
      <w:pPr>
        <w:tabs>
          <w:tab w:val="left" w:pos="6968"/>
        </w:tabs>
        <w:rPr>
          <w:rFonts w:ascii="Arial" w:eastAsia="Arial" w:hAnsi="Arial" w:cs="Arial"/>
          <w:sz w:val="20"/>
          <w:szCs w:val="20"/>
        </w:rPr>
      </w:pPr>
    </w:p>
    <w:p w14:paraId="27B6198D" w14:textId="77777777" w:rsidR="00A031A6" w:rsidRDefault="00916FD0">
      <w:pPr>
        <w:tabs>
          <w:tab w:val="left" w:pos="6968"/>
        </w:tabs>
        <w:rPr>
          <w:rFonts w:ascii="Arial" w:eastAsia="Arial" w:hAnsi="Arial" w:cs="Arial"/>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ab/>
      </w:r>
    </w:p>
    <w:p w14:paraId="0FFF0B69"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00" w:name="_3s49zyc" w:colFirst="0" w:colLast="0"/>
      <w:bookmarkEnd w:id="100"/>
      <w:r>
        <w:rPr>
          <w:rFonts w:ascii="Arial" w:eastAsia="Arial" w:hAnsi="Arial" w:cs="Arial"/>
          <w:b/>
          <w:color w:val="000000"/>
          <w:sz w:val="20"/>
          <w:szCs w:val="20"/>
        </w:rPr>
        <w:lastRenderedPageBreak/>
        <w:t>Figure 20. LCOE of different power plant technologies in Indonesia</w:t>
      </w:r>
    </w:p>
    <w:p w14:paraId="46657387" w14:textId="77777777" w:rsidR="00A031A6" w:rsidRDefault="00916FD0">
      <w:pPr>
        <w:sectPr w:rsidR="00A031A6">
          <w:pgSz w:w="11906" w:h="16838"/>
          <w:pgMar w:top="720" w:right="720" w:bottom="720" w:left="720" w:header="709" w:footer="709" w:gutter="0"/>
          <w:cols w:space="720"/>
        </w:sectPr>
      </w:pPr>
      <w:r>
        <w:rPr>
          <w:noProof/>
          <w:color w:val="FFFFFF"/>
        </w:rPr>
        <w:drawing>
          <wp:inline distT="0" distB="0" distL="0" distR="0" wp14:anchorId="5779DFF3" wp14:editId="79915340">
            <wp:extent cx="9695180" cy="5998191"/>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9695180" cy="5998191"/>
                    </a:xfrm>
                    <a:prstGeom prst="rect">
                      <a:avLst/>
                    </a:prstGeom>
                    <a:ln/>
                  </pic:spPr>
                </pic:pic>
              </a:graphicData>
            </a:graphic>
          </wp:inline>
        </w:drawing>
      </w:r>
    </w:p>
    <w:p w14:paraId="3D0DE2F7" w14:textId="77777777" w:rsidR="00A031A6" w:rsidRDefault="00916FD0">
      <w:pPr>
        <w:pStyle w:val="Heading1"/>
        <w:numPr>
          <w:ilvl w:val="0"/>
          <w:numId w:val="36"/>
        </w:numPr>
      </w:pPr>
      <w:bookmarkStart w:id="101" w:name="_Toc62221431"/>
      <w:r>
        <w:lastRenderedPageBreak/>
        <w:t>Energy transition pathways with increased ambitions</w:t>
      </w:r>
      <w:bookmarkEnd w:id="101"/>
    </w:p>
    <w:p w14:paraId="58C8E283" w14:textId="77777777" w:rsidR="00A031A6" w:rsidRDefault="00916FD0">
      <w:pPr>
        <w:spacing w:line="360" w:lineRule="auto"/>
        <w:jc w:val="both"/>
        <w:rPr>
          <w:rFonts w:ascii="Arial" w:eastAsia="Arial" w:hAnsi="Arial" w:cs="Arial"/>
          <w:b/>
          <w:i/>
          <w:color w:val="0070C0"/>
          <w:sz w:val="20"/>
          <w:szCs w:val="20"/>
        </w:rPr>
      </w:pPr>
      <w:r>
        <w:rPr>
          <w:rFonts w:ascii="Arial" w:eastAsia="Arial" w:hAnsi="Arial" w:cs="Arial"/>
          <w:b/>
          <w:i/>
          <w:color w:val="0070C0"/>
          <w:sz w:val="20"/>
          <w:szCs w:val="20"/>
        </w:rPr>
        <w:t>The SDG scenarios have been further analysed to identify the best way forward for Indonesia in transitioning its energy sector to 2030. This analysis shows that there are socio-economic and environmental benefits for Indonesia from raising its ambition beyond just achieving the SDG 7 targets, such as creating cost-effectiveness by further improving its energy efficiency as well as economic benefits from enhancing its NDC target beyond the unconditional and conditional NDC targets.</w:t>
      </w:r>
    </w:p>
    <w:p w14:paraId="2DA6B20E"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Ten different sub-scenarios have been developed under the SDG 7 scenario in order to analyse and compare costs and benefits, and to identify a scenario that is most suited to Indonesia. The sub-scenarios are:</w:t>
      </w:r>
    </w:p>
    <w:p w14:paraId="6F097D3A"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Clean cooking with LPG. This scenario looks at achieving SDG 7 targets and the unconditional NDC target. Universal access to electricity is achieved by extending the grid network, and the clean cooking target is achieved by the LPG cooking stove. Energy efficiency is strengthened to achieve SDG 7.3 target, and the optimum share of renewable energy is estimated using the NDC unconditional target as the constraint, together with least cost optimization for the power sector; </w:t>
      </w:r>
    </w:p>
    <w:p w14:paraId="5A161879"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Clean cooking with improved cooking stove. This scenario is same as the above scenario except that universal access to electricity is achieved by RE-based mini grid and clean cooking target is achieved by improved cooking stove;</w:t>
      </w:r>
    </w:p>
    <w:p w14:paraId="1CB5C448"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Clean cooking with electric stoves. This scenario is same as scenario (b) except that universal access to electricity is achieved by off-grid technologies, and the clean cooking target is achieved by using electric cooking stoves; </w:t>
      </w:r>
    </w:p>
    <w:p w14:paraId="0437CE55"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No new investments in coal power plants. This scenario looks at raising ambition beyond SDG 7.  Targets for access to electricity and clean cooking fuel are achieved by least-cost options, which are off-grid technologies and electric cooking stoves, respectively. Energy efficiency is strengthened to achieve the SDG 7.3 target, and the optimum share of renewable energy is estimated using the NDC unconditional target as the constraint. Coal is phased out from the power sector, with no new coal power plants after 2020 and the gradual decommissioning of existing ones by 2030;</w:t>
      </w:r>
    </w:p>
    <w:p w14:paraId="6BF353FD"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Conditional NDC with high energy efficiency. This scenario looks at raising ambition beyond SDG 7. Targets for access to electricity and clean cooking fuel are achieved by least-cost options, which are off-grid technologies and electric cooking stoves, respectively. Energy efficiency is strengthened further to go beyond the SDG 7.3 target, and the optimum share of renewable energy is estimated using the NDC conditional target as the constraint, together with least cost optimization for the power sector;</w:t>
      </w:r>
    </w:p>
    <w:p w14:paraId="70EA0B31"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Reduced fossil fuel subsidy with low carbon price: This scenario looks at raising ambition beyond SDG 7. Energy efficiency is strengthened further to go beyond SDG 7.3 target and the optimum share of renewable energy is estimated using the NDC conditional target as the </w:t>
      </w:r>
      <w:r>
        <w:rPr>
          <w:rFonts w:ascii="Arial" w:eastAsia="Arial" w:hAnsi="Arial" w:cs="Arial"/>
          <w:color w:val="000000"/>
          <w:sz w:val="20"/>
          <w:szCs w:val="20"/>
        </w:rPr>
        <w:lastRenderedPageBreak/>
        <w:t xml:space="preserve">constraint, together with least-cost optimization for the power sector. The fossil fuel subsidy is removed from the consumer side and a carbon price of IDR 213,450 (US$15) per ton is introduced; </w:t>
      </w:r>
    </w:p>
    <w:p w14:paraId="5DBC416C"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 xml:space="preserve">Reduced fossil fuel subsidy with high carbon price. This scenario is same as scenario (f), but the carbon price is increased to IDR 426,300 (US$30) per ton; </w:t>
      </w:r>
    </w:p>
    <w:p w14:paraId="1A26B85C"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Enhancing NDC with reduced coal-based power generation and fossil fuel subsidy. This scenario is the same as scenario (g), but the fossil fuel subsidy is completely phased out. In addition, coal is phased out from the power sector, with no new coal power plants after 2020 and the gradual decommissioning of the existing ones by 2030;</w:t>
      </w:r>
    </w:p>
    <w:p w14:paraId="5A7B5904" w14:textId="77777777" w:rsidR="00A031A6" w:rsidRDefault="00916FD0">
      <w:pPr>
        <w:numPr>
          <w:ilvl w:val="0"/>
          <w:numId w:val="27"/>
        </w:numPr>
        <w:pBdr>
          <w:top w:val="nil"/>
          <w:left w:val="nil"/>
          <w:bottom w:val="nil"/>
          <w:right w:val="nil"/>
          <w:between w:val="nil"/>
        </w:pBdr>
        <w:spacing w:after="0" w:line="360" w:lineRule="auto"/>
        <w:jc w:val="both"/>
        <w:rPr>
          <w:color w:val="000000"/>
        </w:rPr>
      </w:pPr>
      <w:r>
        <w:rPr>
          <w:rFonts w:ascii="Arial" w:eastAsia="Arial" w:hAnsi="Arial" w:cs="Arial"/>
          <w:color w:val="000000"/>
          <w:sz w:val="20"/>
          <w:szCs w:val="20"/>
        </w:rPr>
        <w:t>Enhancing NDC with reduced natural gas-based power generation and a fossil fuel subsidy. This scenario is the same as scenario (h), but natural gas, instead of coal, is phased out by 2030;</w:t>
      </w:r>
    </w:p>
    <w:p w14:paraId="4912E61D" w14:textId="77777777" w:rsidR="00A031A6" w:rsidRDefault="00916FD0">
      <w:pPr>
        <w:numPr>
          <w:ilvl w:val="0"/>
          <w:numId w:val="27"/>
        </w:numPr>
        <w:pBdr>
          <w:top w:val="nil"/>
          <w:left w:val="nil"/>
          <w:bottom w:val="nil"/>
          <w:right w:val="nil"/>
          <w:between w:val="nil"/>
        </w:pBdr>
        <w:spacing w:line="360" w:lineRule="auto"/>
        <w:jc w:val="both"/>
        <w:rPr>
          <w:color w:val="000000"/>
        </w:rPr>
      </w:pPr>
      <w:r>
        <w:rPr>
          <w:rFonts w:ascii="Arial" w:eastAsia="Arial" w:hAnsi="Arial" w:cs="Arial"/>
          <w:color w:val="000000"/>
          <w:sz w:val="20"/>
          <w:szCs w:val="20"/>
        </w:rPr>
        <w:t xml:space="preserve">Enhancing NDC by decarbonizing power sector: This scenario is the most ambitious one in which the power sector is completely decarbonized by phasing out all fossil fuel-based power generation by 2030. The other parameters remain the same as scenario (i). </w:t>
      </w:r>
    </w:p>
    <w:tbl>
      <w:tblPr>
        <w:tblStyle w:val="a4"/>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9016"/>
      </w:tblGrid>
      <w:tr w:rsidR="00A031A6" w14:paraId="5C31B5BC" w14:textId="77777777">
        <w:tc>
          <w:tcPr>
            <w:tcW w:w="9016" w:type="dxa"/>
          </w:tcPr>
          <w:p w14:paraId="7512C371" w14:textId="77777777" w:rsidR="00A031A6" w:rsidRDefault="00916FD0">
            <w:pPr>
              <w:tabs>
                <w:tab w:val="center" w:pos="4400"/>
                <w:tab w:val="right" w:pos="8800"/>
              </w:tabs>
              <w:spacing w:before="60"/>
              <w:jc w:val="left"/>
              <w:rPr>
                <w:rFonts w:ascii="Arial" w:eastAsia="Arial" w:hAnsi="Arial" w:cs="Arial"/>
                <w:b/>
                <w:color w:val="0070C0"/>
                <w:sz w:val="24"/>
                <w:szCs w:val="24"/>
              </w:rPr>
            </w:pPr>
            <w:bookmarkStart w:id="102" w:name="_meukdy" w:colFirst="0" w:colLast="0"/>
            <w:bookmarkEnd w:id="102"/>
            <w:r>
              <w:rPr>
                <w:rFonts w:ascii="Arial" w:eastAsia="Arial" w:hAnsi="Arial" w:cs="Arial"/>
                <w:b/>
                <w:color w:val="0070C0"/>
                <w:sz w:val="24"/>
                <w:szCs w:val="24"/>
              </w:rPr>
              <w:tab/>
              <w:t>Box 2. Choice of the carbon price</w:t>
            </w:r>
            <w:r>
              <w:rPr>
                <w:rFonts w:ascii="Arial" w:eastAsia="Arial" w:hAnsi="Arial" w:cs="Arial"/>
                <w:b/>
                <w:color w:val="0070C0"/>
                <w:sz w:val="24"/>
                <w:szCs w:val="24"/>
              </w:rPr>
              <w:tab/>
            </w:r>
          </w:p>
          <w:p w14:paraId="6BE0CF3E" w14:textId="77777777" w:rsidR="00A031A6" w:rsidRDefault="00A031A6">
            <w:pPr>
              <w:tabs>
                <w:tab w:val="center" w:pos="4400"/>
                <w:tab w:val="right" w:pos="8800"/>
              </w:tabs>
              <w:spacing w:before="60"/>
              <w:jc w:val="left"/>
              <w:rPr>
                <w:rFonts w:ascii="Arial" w:eastAsia="Arial" w:hAnsi="Arial" w:cs="Arial"/>
                <w:b/>
                <w:color w:val="0070C0"/>
                <w:sz w:val="18"/>
                <w:szCs w:val="18"/>
              </w:rPr>
            </w:pPr>
          </w:p>
          <w:p w14:paraId="2A7B6DD8" w14:textId="77777777" w:rsidR="00A031A6" w:rsidRDefault="00916FD0">
            <w:pPr>
              <w:tabs>
                <w:tab w:val="left" w:pos="3945"/>
              </w:tabs>
              <w:spacing w:after="240" w:line="360" w:lineRule="auto"/>
              <w:ind w:left="113" w:right="113"/>
              <w:rPr>
                <w:rFonts w:ascii="Arial" w:eastAsia="Arial" w:hAnsi="Arial" w:cs="Arial"/>
                <w:sz w:val="20"/>
                <w:szCs w:val="20"/>
              </w:rPr>
            </w:pPr>
            <w:r>
              <w:rPr>
                <w:rFonts w:ascii="Arial" w:eastAsia="Arial" w:hAnsi="Arial" w:cs="Arial"/>
                <w:sz w:val="20"/>
                <w:szCs w:val="20"/>
              </w:rPr>
              <w:t xml:space="preserve">In today’s market, there is no consistency in carbon price, and it is therefore very difficult to choose a carbon price that will suit the national context. In the absence of any carbon price in Indonesia and the Southeast Asia region, an indicative price of US$ 30 per ton has been chosen, with a sensitivity analysis performed by reducing it to 50 per cent (US$ 15 per ton). The </w:t>
            </w:r>
            <w:r>
              <w:rPr>
                <w:rFonts w:ascii="Arial" w:eastAsia="Arial" w:hAnsi="Arial" w:cs="Arial"/>
                <w:i/>
                <w:sz w:val="20"/>
                <w:szCs w:val="20"/>
              </w:rPr>
              <w:t>State and Trend of Carbon Pricing 2020</w:t>
            </w:r>
            <w:r>
              <w:rPr>
                <w:rFonts w:ascii="Arial" w:eastAsia="Arial" w:hAnsi="Arial" w:cs="Arial"/>
                <w:sz w:val="20"/>
                <w:szCs w:val="20"/>
              </w:rPr>
              <w:t xml:space="preserve"> report published by the World Bank (World Bank, 2020) suggests that a minimum carbon price of US$ 40-US$ 80 per ton of is needed by 2020 to cost-effectively reduce emissions in line with the temperature goal of the Paris Agreement. In this study, a slightly lower carbon price has been chosen, based on the country’s socio-economic context. This is an indicative price to demonstrate how a price on carbon would support the proposed transformation of the energy sector. Further in-depth investigation should be performed, involving subject matter experts and stakeholders, to identify the price suitable for Indonesia.</w:t>
            </w:r>
          </w:p>
        </w:tc>
      </w:tr>
    </w:tbl>
    <w:p w14:paraId="7A15C4F6" w14:textId="77777777" w:rsidR="00A031A6" w:rsidRDefault="00A031A6">
      <w:pPr>
        <w:spacing w:after="120" w:line="360" w:lineRule="auto"/>
        <w:jc w:val="both"/>
        <w:rPr>
          <w:rFonts w:ascii="Arial" w:eastAsia="Arial" w:hAnsi="Arial" w:cs="Arial"/>
          <w:sz w:val="6"/>
          <w:szCs w:val="6"/>
        </w:rPr>
      </w:pPr>
    </w:p>
    <w:p w14:paraId="3031FF23" w14:textId="77777777" w:rsidR="00A031A6" w:rsidRDefault="00916FD0">
      <w:pPr>
        <w:pStyle w:val="Heading2"/>
        <w:numPr>
          <w:ilvl w:val="1"/>
          <w:numId w:val="36"/>
        </w:numPr>
      </w:pPr>
      <w:bookmarkStart w:id="103" w:name="_Toc62221432"/>
      <w:r>
        <w:t>Scenario ranking</w:t>
      </w:r>
      <w:bookmarkEnd w:id="103"/>
    </w:p>
    <w:p w14:paraId="0915BF9B"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SDG scenarios have been evaluated and ranked, using the Multi Criteria Decision Analysis (MCDA) tool, with a set of 12 criteria and weights assigned to each criterion (table 4). While the criteria and weights have been selected based on expert judgement, ideally the process should use a stakeholder consultation. If deemed necessary, this step can be repeated using the NEXSTEP tool in consultation with stakeholders where the participants may want to change weights of each criterion. The following factors have been considered to assume comparative weights across the set of criteria, where the total weight needs to be 100 per cent:</w:t>
      </w:r>
    </w:p>
    <w:p w14:paraId="22644147"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Universal access to electricity to be achieved;</w:t>
      </w:r>
    </w:p>
    <w:p w14:paraId="7B28FB75"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Universal access to clean cooking fuel to be achieved;</w:t>
      </w:r>
    </w:p>
    <w:p w14:paraId="6E43C052"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lastRenderedPageBreak/>
        <w:t>Renewable energy share in the total final energy consumption to increase;</w:t>
      </w:r>
    </w:p>
    <w:p w14:paraId="3835FDB4"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 xml:space="preserve">Energy efficiency improvement should be doubled, and where there is an economic benefit it should be further enhanced; </w:t>
      </w:r>
    </w:p>
    <w:p w14:paraId="0A52BC3C"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 xml:space="preserve">The unconditional NDC target should be achieved. Where possible, the conditional target should be achieved and, if it is economically viable, the NDC target should be further enhanced to align it with the 1.5-degree pathway. </w:t>
      </w:r>
    </w:p>
    <w:p w14:paraId="230BF51C"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Total investment should be kept low, but the net benefit should be high. This was done by assigning both indicators the same weight to ensure that a scenario is chosen on the value-for-money basis;</w:t>
      </w:r>
    </w:p>
    <w:p w14:paraId="1CC6E633" w14:textId="77777777" w:rsidR="00A031A6" w:rsidRDefault="00916FD0">
      <w:pPr>
        <w:numPr>
          <w:ilvl w:val="0"/>
          <w:numId w:val="30"/>
        </w:numPr>
        <w:pBdr>
          <w:top w:val="nil"/>
          <w:left w:val="nil"/>
          <w:bottom w:val="nil"/>
          <w:right w:val="nil"/>
          <w:between w:val="nil"/>
        </w:pBdr>
        <w:spacing w:after="0" w:line="360" w:lineRule="auto"/>
        <w:ind w:left="709" w:hanging="345"/>
        <w:jc w:val="both"/>
        <w:rPr>
          <w:color w:val="000000"/>
          <w:sz w:val="20"/>
          <w:szCs w:val="20"/>
        </w:rPr>
      </w:pPr>
      <w:r>
        <w:rPr>
          <w:rFonts w:ascii="Arial" w:eastAsia="Arial" w:hAnsi="Arial" w:cs="Arial"/>
          <w:color w:val="000000"/>
          <w:sz w:val="20"/>
          <w:szCs w:val="20"/>
        </w:rPr>
        <w:t>The fossil fuel subsidy should be phased out. Policy reform is required to enable the abolishment of subsidies that encourage wasteful consumption of energy;</w:t>
      </w:r>
    </w:p>
    <w:p w14:paraId="157A00C1" w14:textId="77777777" w:rsidR="00A031A6" w:rsidRDefault="00916FD0">
      <w:pPr>
        <w:numPr>
          <w:ilvl w:val="0"/>
          <w:numId w:val="30"/>
        </w:numPr>
        <w:pBdr>
          <w:top w:val="nil"/>
          <w:left w:val="nil"/>
          <w:bottom w:val="nil"/>
          <w:right w:val="nil"/>
          <w:between w:val="nil"/>
        </w:pBdr>
        <w:spacing w:line="360" w:lineRule="auto"/>
        <w:ind w:left="709" w:hanging="345"/>
        <w:jc w:val="both"/>
        <w:rPr>
          <w:color w:val="000000"/>
          <w:sz w:val="20"/>
          <w:szCs w:val="20"/>
        </w:rPr>
      </w:pPr>
      <w:r>
        <w:rPr>
          <w:rFonts w:ascii="Arial" w:eastAsia="Arial" w:hAnsi="Arial" w:cs="Arial"/>
          <w:color w:val="000000"/>
          <w:sz w:val="20"/>
          <w:szCs w:val="20"/>
        </w:rPr>
        <w:t xml:space="preserve">Carbon pricing should be introduced to encourage investments in clean energy. </w:t>
      </w:r>
    </w:p>
    <w:p w14:paraId="047BB7DF"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04" w:name="_1ljsd9k" w:colFirst="0" w:colLast="0"/>
      <w:bookmarkEnd w:id="104"/>
      <w:r>
        <w:rPr>
          <w:rFonts w:ascii="Arial" w:eastAsia="Arial" w:hAnsi="Arial" w:cs="Arial"/>
          <w:b/>
          <w:color w:val="000000"/>
          <w:sz w:val="20"/>
          <w:szCs w:val="20"/>
        </w:rPr>
        <w:t>Table 4. Criteria with assigned weights for MCDA</w:t>
      </w:r>
    </w:p>
    <w:tbl>
      <w:tblPr>
        <w:tblStyle w:val="a5"/>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5435"/>
        <w:gridCol w:w="3585"/>
      </w:tblGrid>
      <w:tr w:rsidR="00A031A6" w14:paraId="4B4FD33F" w14:textId="77777777" w:rsidTr="00A031A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35" w:type="dxa"/>
            <w:shd w:val="clear" w:color="auto" w:fill="767171"/>
            <w:vAlign w:val="center"/>
          </w:tcPr>
          <w:p w14:paraId="19498BA1" w14:textId="77777777" w:rsidR="00A031A6" w:rsidRDefault="00916FD0">
            <w:pPr>
              <w:rPr>
                <w:rFonts w:ascii="Arial" w:eastAsia="Arial" w:hAnsi="Arial" w:cs="Arial"/>
                <w:color w:val="FFFFFF"/>
                <w:sz w:val="20"/>
                <w:szCs w:val="20"/>
              </w:rPr>
            </w:pPr>
            <w:r>
              <w:rPr>
                <w:rFonts w:ascii="Arial" w:eastAsia="Arial" w:hAnsi="Arial" w:cs="Arial"/>
                <w:b w:val="0"/>
                <w:color w:val="FFFFFF"/>
                <w:sz w:val="20"/>
                <w:szCs w:val="20"/>
              </w:rPr>
              <w:t>Criterion</w:t>
            </w:r>
          </w:p>
        </w:tc>
        <w:tc>
          <w:tcPr>
            <w:tcW w:w="3585" w:type="dxa"/>
            <w:shd w:val="clear" w:color="auto" w:fill="767171"/>
            <w:vAlign w:val="center"/>
          </w:tcPr>
          <w:p w14:paraId="357E5A02" w14:textId="77777777" w:rsidR="00A031A6" w:rsidRDefault="00916FD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b w:val="0"/>
                <w:color w:val="FFFFFF"/>
                <w:sz w:val="20"/>
                <w:szCs w:val="20"/>
              </w:rPr>
              <w:t>Weight</w:t>
            </w:r>
          </w:p>
        </w:tc>
      </w:tr>
      <w:tr w:rsidR="00A031A6" w14:paraId="1146800A"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5067ED87"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Access to clean cooking fuel</w:t>
            </w:r>
          </w:p>
        </w:tc>
        <w:tc>
          <w:tcPr>
            <w:tcW w:w="3585" w:type="dxa"/>
            <w:vAlign w:val="center"/>
          </w:tcPr>
          <w:p w14:paraId="3E10457C"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14:paraId="5328B370"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58AAB8E0"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Energy efficiency</w:t>
            </w:r>
          </w:p>
        </w:tc>
        <w:tc>
          <w:tcPr>
            <w:tcW w:w="3585" w:type="dxa"/>
            <w:vAlign w:val="center"/>
          </w:tcPr>
          <w:p w14:paraId="288360E3"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14:paraId="6EB675B8"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5B78BAC2"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Share of renewable energy</w:t>
            </w:r>
          </w:p>
        </w:tc>
        <w:tc>
          <w:tcPr>
            <w:tcW w:w="3585" w:type="dxa"/>
            <w:vAlign w:val="center"/>
          </w:tcPr>
          <w:p w14:paraId="41A193F8"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14:paraId="3537E735"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68CF11DF"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Emissions in 2030</w:t>
            </w:r>
          </w:p>
        </w:tc>
        <w:tc>
          <w:tcPr>
            <w:tcW w:w="3585" w:type="dxa"/>
            <w:vAlign w:val="center"/>
          </w:tcPr>
          <w:p w14:paraId="6AED85EE"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r>
      <w:tr w:rsidR="00A031A6" w14:paraId="5A2B4258"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3CADBDE3"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Alignment with PA</w:t>
            </w:r>
          </w:p>
        </w:tc>
        <w:tc>
          <w:tcPr>
            <w:tcW w:w="3585" w:type="dxa"/>
            <w:vAlign w:val="center"/>
          </w:tcPr>
          <w:p w14:paraId="705A7AF0"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w:t>
            </w:r>
          </w:p>
        </w:tc>
      </w:tr>
      <w:tr w:rsidR="00A031A6" w14:paraId="5008C162"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489D1F3B"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Fossil fuel subsidy phased out</w:t>
            </w:r>
          </w:p>
        </w:tc>
        <w:tc>
          <w:tcPr>
            <w:tcW w:w="3585" w:type="dxa"/>
            <w:vAlign w:val="center"/>
          </w:tcPr>
          <w:p w14:paraId="4EC3FE8A"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A031A6" w14:paraId="0D6A277A"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7AEFB0DA"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Price on carbon</w:t>
            </w:r>
          </w:p>
        </w:tc>
        <w:tc>
          <w:tcPr>
            <w:tcW w:w="3585" w:type="dxa"/>
            <w:vAlign w:val="center"/>
          </w:tcPr>
          <w:p w14:paraId="58609CBF"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A031A6" w14:paraId="5014ABD1"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3C792FDD"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Fossil fuel phase-out</w:t>
            </w:r>
          </w:p>
        </w:tc>
        <w:tc>
          <w:tcPr>
            <w:tcW w:w="3585" w:type="dxa"/>
            <w:vAlign w:val="center"/>
          </w:tcPr>
          <w:p w14:paraId="102E0223"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r>
      <w:tr w:rsidR="00A031A6" w14:paraId="35004F8B"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4410461F"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Cost of access to electricity</w:t>
            </w:r>
          </w:p>
        </w:tc>
        <w:tc>
          <w:tcPr>
            <w:tcW w:w="3585" w:type="dxa"/>
            <w:vAlign w:val="center"/>
          </w:tcPr>
          <w:p w14:paraId="3F5EDAE5"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r>
      <w:tr w:rsidR="00A031A6" w14:paraId="63CCE842"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67F864DB"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Cost of access to clean cooking fuel</w:t>
            </w:r>
          </w:p>
        </w:tc>
        <w:tc>
          <w:tcPr>
            <w:tcW w:w="3585" w:type="dxa"/>
            <w:vAlign w:val="center"/>
          </w:tcPr>
          <w:p w14:paraId="3F420BD6"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r>
      <w:tr w:rsidR="00A031A6" w14:paraId="4F038239"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46F70BCF"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Investment cost</w:t>
            </w:r>
          </w:p>
        </w:tc>
        <w:tc>
          <w:tcPr>
            <w:tcW w:w="3585" w:type="dxa"/>
            <w:vAlign w:val="center"/>
          </w:tcPr>
          <w:p w14:paraId="0E8CEA41"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w:t>
            </w:r>
          </w:p>
        </w:tc>
      </w:tr>
      <w:tr w:rsidR="00A031A6" w14:paraId="1D54BC03" w14:textId="77777777" w:rsidTr="00A031A6">
        <w:trPr>
          <w:trHeight w:val="397"/>
        </w:trPr>
        <w:tc>
          <w:tcPr>
            <w:cnfStyle w:val="001000000000" w:firstRow="0" w:lastRow="0" w:firstColumn="1" w:lastColumn="0" w:oddVBand="0" w:evenVBand="0" w:oddHBand="0" w:evenHBand="0" w:firstRowFirstColumn="0" w:firstRowLastColumn="0" w:lastRowFirstColumn="0" w:lastRowLastColumn="0"/>
            <w:tcW w:w="5435" w:type="dxa"/>
            <w:vAlign w:val="center"/>
          </w:tcPr>
          <w:p w14:paraId="54A7B0E7"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Net benefit from the power sector</w:t>
            </w:r>
          </w:p>
        </w:tc>
        <w:tc>
          <w:tcPr>
            <w:tcW w:w="3585" w:type="dxa"/>
            <w:vAlign w:val="center"/>
          </w:tcPr>
          <w:p w14:paraId="403A72D9" w14:textId="77777777" w:rsidR="00A031A6" w:rsidRDefault="00916F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w:t>
            </w:r>
          </w:p>
        </w:tc>
      </w:tr>
    </w:tbl>
    <w:p w14:paraId="56BD7603" w14:textId="77777777" w:rsidR="00A031A6" w:rsidRDefault="00A031A6">
      <w:pPr>
        <w:spacing w:after="0" w:line="360" w:lineRule="auto"/>
        <w:jc w:val="both"/>
        <w:rPr>
          <w:rFonts w:ascii="Arial" w:eastAsia="Arial" w:hAnsi="Arial" w:cs="Arial"/>
          <w:sz w:val="20"/>
          <w:szCs w:val="20"/>
        </w:rPr>
      </w:pPr>
    </w:p>
    <w:p w14:paraId="3D65306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Table 5 shows the summary of results obtained through this evaluation process. The scenario recommendation suggests that the SDG scenario, “Enhancing Nationally Determined Contributions with reduced coal and fossil fuel subsidy”, is the highest-ranked energy transition pathway for Indonesia. </w:t>
      </w:r>
    </w:p>
    <w:p w14:paraId="6DFE94B1" w14:textId="77777777" w:rsidR="00A031A6" w:rsidRDefault="00A031A6">
      <w:pPr>
        <w:pBdr>
          <w:top w:val="nil"/>
          <w:left w:val="nil"/>
          <w:bottom w:val="nil"/>
          <w:right w:val="nil"/>
          <w:between w:val="nil"/>
        </w:pBdr>
        <w:spacing w:after="200" w:line="240" w:lineRule="auto"/>
        <w:rPr>
          <w:rFonts w:ascii="Arial" w:eastAsia="Arial" w:hAnsi="Arial" w:cs="Arial"/>
          <w:b/>
          <w:color w:val="000000"/>
          <w:sz w:val="20"/>
          <w:szCs w:val="20"/>
        </w:rPr>
      </w:pPr>
      <w:bookmarkStart w:id="105" w:name="_45jfvxd" w:colFirst="0" w:colLast="0"/>
      <w:bookmarkEnd w:id="105"/>
    </w:p>
    <w:p w14:paraId="5A9B29C2" w14:textId="77777777" w:rsidR="00A031A6" w:rsidRDefault="00A031A6"/>
    <w:p w14:paraId="0D9DE134" w14:textId="77777777" w:rsidR="00A031A6" w:rsidRDefault="00A031A6"/>
    <w:p w14:paraId="7CD546AD" w14:textId="77777777" w:rsidR="00A031A6" w:rsidRDefault="00A031A6"/>
    <w:p w14:paraId="1D05634B" w14:textId="77777777" w:rsidR="00A031A6" w:rsidRDefault="00A031A6"/>
    <w:p w14:paraId="72BF053E" w14:textId="77777777" w:rsidR="00A031A6" w:rsidRDefault="00A031A6"/>
    <w:p w14:paraId="253902ED" w14:textId="77777777" w:rsidR="00A031A6" w:rsidRDefault="00916FD0">
      <w:pPr>
        <w:pBdr>
          <w:top w:val="nil"/>
          <w:left w:val="nil"/>
          <w:bottom w:val="nil"/>
          <w:right w:val="nil"/>
          <w:between w:val="nil"/>
        </w:pBdr>
        <w:spacing w:after="200" w:line="240" w:lineRule="auto"/>
        <w:jc w:val="center"/>
        <w:rPr>
          <w:rFonts w:ascii="Arial" w:eastAsia="Arial" w:hAnsi="Arial" w:cs="Arial"/>
          <w:b/>
          <w:color w:val="000000"/>
          <w:sz w:val="20"/>
          <w:szCs w:val="20"/>
        </w:rPr>
      </w:pPr>
      <w:r>
        <w:rPr>
          <w:rFonts w:ascii="Arial" w:eastAsia="Arial" w:hAnsi="Arial" w:cs="Arial"/>
          <w:b/>
          <w:color w:val="000000"/>
          <w:sz w:val="20"/>
          <w:szCs w:val="20"/>
        </w:rPr>
        <w:t>Table 5. Scenario ranking based on MCDA</w:t>
      </w:r>
    </w:p>
    <w:tbl>
      <w:tblPr>
        <w:tblStyle w:val="a6"/>
        <w:tblW w:w="9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237"/>
        <w:gridCol w:w="1844"/>
      </w:tblGrid>
      <w:tr w:rsidR="00A031A6" w14:paraId="3065507D" w14:textId="77777777">
        <w:trPr>
          <w:trHeight w:val="397"/>
        </w:trPr>
        <w:tc>
          <w:tcPr>
            <w:tcW w:w="988" w:type="dxa"/>
            <w:shd w:val="clear" w:color="auto" w:fill="00B0F0"/>
            <w:vAlign w:val="center"/>
          </w:tcPr>
          <w:p w14:paraId="17320B0D" w14:textId="77777777" w:rsidR="00A031A6" w:rsidRDefault="00916FD0">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Rank</w:t>
            </w:r>
          </w:p>
        </w:tc>
        <w:tc>
          <w:tcPr>
            <w:tcW w:w="6237" w:type="dxa"/>
            <w:shd w:val="clear" w:color="auto" w:fill="00B0F0"/>
            <w:vAlign w:val="center"/>
          </w:tcPr>
          <w:p w14:paraId="75DEBA1A" w14:textId="77777777" w:rsidR="00A031A6" w:rsidRDefault="00916FD0">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Scenarios</w:t>
            </w:r>
          </w:p>
        </w:tc>
        <w:tc>
          <w:tcPr>
            <w:tcW w:w="1844" w:type="dxa"/>
            <w:shd w:val="clear" w:color="auto" w:fill="00B0F0"/>
            <w:vAlign w:val="center"/>
          </w:tcPr>
          <w:p w14:paraId="7C96631D" w14:textId="77777777" w:rsidR="00A031A6" w:rsidRDefault="00916FD0">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Weighted score</w:t>
            </w:r>
          </w:p>
        </w:tc>
      </w:tr>
      <w:tr w:rsidR="00A031A6" w14:paraId="39D42CE4" w14:textId="77777777">
        <w:trPr>
          <w:trHeight w:val="397"/>
        </w:trPr>
        <w:tc>
          <w:tcPr>
            <w:tcW w:w="988" w:type="dxa"/>
            <w:vAlign w:val="center"/>
          </w:tcPr>
          <w:p w14:paraId="39CD961D"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1</w:t>
            </w:r>
          </w:p>
        </w:tc>
        <w:tc>
          <w:tcPr>
            <w:tcW w:w="6237" w:type="dxa"/>
            <w:vAlign w:val="center"/>
          </w:tcPr>
          <w:p w14:paraId="1F04B40C"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Enhancing NDC with reduced coal and fossil fuel subsidy</w:t>
            </w:r>
          </w:p>
        </w:tc>
        <w:tc>
          <w:tcPr>
            <w:tcW w:w="1844" w:type="dxa"/>
            <w:vAlign w:val="center"/>
          </w:tcPr>
          <w:p w14:paraId="127BFE37"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72.2</w:t>
            </w:r>
          </w:p>
        </w:tc>
      </w:tr>
      <w:tr w:rsidR="00A031A6" w14:paraId="336F0931" w14:textId="77777777">
        <w:trPr>
          <w:trHeight w:val="397"/>
        </w:trPr>
        <w:tc>
          <w:tcPr>
            <w:tcW w:w="988" w:type="dxa"/>
            <w:vAlign w:val="center"/>
          </w:tcPr>
          <w:p w14:paraId="1BCB076A"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2</w:t>
            </w:r>
          </w:p>
        </w:tc>
        <w:tc>
          <w:tcPr>
            <w:tcW w:w="6237" w:type="dxa"/>
            <w:vAlign w:val="center"/>
          </w:tcPr>
          <w:p w14:paraId="56E82627"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Enhancing NDC with no new investment in coal-based power plant</w:t>
            </w:r>
          </w:p>
        </w:tc>
        <w:tc>
          <w:tcPr>
            <w:tcW w:w="1844" w:type="dxa"/>
            <w:vAlign w:val="center"/>
          </w:tcPr>
          <w:p w14:paraId="230C8C4C"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67.0</w:t>
            </w:r>
          </w:p>
        </w:tc>
      </w:tr>
      <w:tr w:rsidR="00A031A6" w14:paraId="62CECB96" w14:textId="77777777">
        <w:trPr>
          <w:trHeight w:val="397"/>
        </w:trPr>
        <w:tc>
          <w:tcPr>
            <w:tcW w:w="988" w:type="dxa"/>
            <w:vAlign w:val="center"/>
          </w:tcPr>
          <w:p w14:paraId="45C05E83"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3</w:t>
            </w:r>
          </w:p>
        </w:tc>
        <w:tc>
          <w:tcPr>
            <w:tcW w:w="6237" w:type="dxa"/>
            <w:vAlign w:val="center"/>
          </w:tcPr>
          <w:p w14:paraId="7FF6ACE4"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Reduced fossil fuel subsidy with low carbon tax</w:t>
            </w:r>
          </w:p>
        </w:tc>
        <w:tc>
          <w:tcPr>
            <w:tcW w:w="1844" w:type="dxa"/>
            <w:vAlign w:val="center"/>
          </w:tcPr>
          <w:p w14:paraId="355396D9"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66.1</w:t>
            </w:r>
          </w:p>
        </w:tc>
      </w:tr>
      <w:tr w:rsidR="00A031A6" w14:paraId="2A3FDAFE" w14:textId="77777777">
        <w:trPr>
          <w:trHeight w:val="397"/>
        </w:trPr>
        <w:tc>
          <w:tcPr>
            <w:tcW w:w="988" w:type="dxa"/>
            <w:vAlign w:val="center"/>
          </w:tcPr>
          <w:p w14:paraId="326521A5"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4</w:t>
            </w:r>
          </w:p>
        </w:tc>
        <w:tc>
          <w:tcPr>
            <w:tcW w:w="6237" w:type="dxa"/>
            <w:vAlign w:val="center"/>
          </w:tcPr>
          <w:p w14:paraId="6CC87CD9"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Reduced fossil fuel subsidy with high carbon tax</w:t>
            </w:r>
          </w:p>
        </w:tc>
        <w:tc>
          <w:tcPr>
            <w:tcW w:w="1844" w:type="dxa"/>
            <w:vAlign w:val="center"/>
          </w:tcPr>
          <w:p w14:paraId="626A7CBA"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65.7</w:t>
            </w:r>
          </w:p>
        </w:tc>
      </w:tr>
      <w:tr w:rsidR="00A031A6" w14:paraId="7566E2A2" w14:textId="77777777">
        <w:trPr>
          <w:trHeight w:val="397"/>
        </w:trPr>
        <w:tc>
          <w:tcPr>
            <w:tcW w:w="988" w:type="dxa"/>
            <w:vAlign w:val="center"/>
          </w:tcPr>
          <w:p w14:paraId="6EC0F991"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5</w:t>
            </w:r>
          </w:p>
        </w:tc>
        <w:tc>
          <w:tcPr>
            <w:tcW w:w="6237" w:type="dxa"/>
            <w:vAlign w:val="center"/>
          </w:tcPr>
          <w:p w14:paraId="7C3331D3"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Enhancing NDC with reduced NG and fossil fuel subsidy</w:t>
            </w:r>
          </w:p>
        </w:tc>
        <w:tc>
          <w:tcPr>
            <w:tcW w:w="1844" w:type="dxa"/>
            <w:vAlign w:val="center"/>
          </w:tcPr>
          <w:p w14:paraId="530B591F"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64.5</w:t>
            </w:r>
          </w:p>
        </w:tc>
      </w:tr>
      <w:tr w:rsidR="00A031A6" w14:paraId="5EC12382" w14:textId="77777777">
        <w:trPr>
          <w:trHeight w:val="397"/>
        </w:trPr>
        <w:tc>
          <w:tcPr>
            <w:tcW w:w="988" w:type="dxa"/>
            <w:vAlign w:val="center"/>
          </w:tcPr>
          <w:p w14:paraId="07116208"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6</w:t>
            </w:r>
          </w:p>
        </w:tc>
        <w:tc>
          <w:tcPr>
            <w:tcW w:w="6237" w:type="dxa"/>
            <w:vAlign w:val="center"/>
          </w:tcPr>
          <w:p w14:paraId="40EA8614"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Enhancing NDC by decarbonizing power sector</w:t>
            </w:r>
          </w:p>
        </w:tc>
        <w:tc>
          <w:tcPr>
            <w:tcW w:w="1844" w:type="dxa"/>
            <w:vAlign w:val="center"/>
          </w:tcPr>
          <w:p w14:paraId="00267773"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63.9</w:t>
            </w:r>
          </w:p>
        </w:tc>
      </w:tr>
      <w:tr w:rsidR="00A031A6" w14:paraId="14EBA891" w14:textId="77777777">
        <w:trPr>
          <w:trHeight w:val="397"/>
        </w:trPr>
        <w:tc>
          <w:tcPr>
            <w:tcW w:w="988" w:type="dxa"/>
            <w:vAlign w:val="center"/>
          </w:tcPr>
          <w:p w14:paraId="327C1CED"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7</w:t>
            </w:r>
          </w:p>
        </w:tc>
        <w:tc>
          <w:tcPr>
            <w:tcW w:w="6237" w:type="dxa"/>
            <w:vAlign w:val="center"/>
          </w:tcPr>
          <w:p w14:paraId="5E6E8B22"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Conditional NDC with high energy efficiency</w:t>
            </w:r>
          </w:p>
        </w:tc>
        <w:tc>
          <w:tcPr>
            <w:tcW w:w="1844" w:type="dxa"/>
            <w:vAlign w:val="center"/>
          </w:tcPr>
          <w:p w14:paraId="51DC8BCA"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60.3</w:t>
            </w:r>
          </w:p>
        </w:tc>
      </w:tr>
      <w:tr w:rsidR="00A031A6" w14:paraId="4FAD8327" w14:textId="77777777">
        <w:trPr>
          <w:trHeight w:val="397"/>
        </w:trPr>
        <w:tc>
          <w:tcPr>
            <w:tcW w:w="988" w:type="dxa"/>
            <w:vAlign w:val="center"/>
          </w:tcPr>
          <w:p w14:paraId="2FAE7089"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8</w:t>
            </w:r>
          </w:p>
        </w:tc>
        <w:tc>
          <w:tcPr>
            <w:tcW w:w="6237" w:type="dxa"/>
            <w:vAlign w:val="center"/>
          </w:tcPr>
          <w:p w14:paraId="521FF18A"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Clean cooking with ICS</w:t>
            </w:r>
          </w:p>
        </w:tc>
        <w:tc>
          <w:tcPr>
            <w:tcW w:w="1844" w:type="dxa"/>
            <w:vAlign w:val="center"/>
          </w:tcPr>
          <w:p w14:paraId="2E8216B2"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59.3</w:t>
            </w:r>
          </w:p>
        </w:tc>
      </w:tr>
      <w:tr w:rsidR="00A031A6" w14:paraId="6E9E3E5F" w14:textId="77777777">
        <w:trPr>
          <w:trHeight w:val="397"/>
        </w:trPr>
        <w:tc>
          <w:tcPr>
            <w:tcW w:w="988" w:type="dxa"/>
            <w:vAlign w:val="center"/>
          </w:tcPr>
          <w:p w14:paraId="4E8D5CDD"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9</w:t>
            </w:r>
          </w:p>
        </w:tc>
        <w:tc>
          <w:tcPr>
            <w:tcW w:w="6237" w:type="dxa"/>
            <w:vAlign w:val="center"/>
          </w:tcPr>
          <w:p w14:paraId="20306121"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Clean cooking with electric stoves</w:t>
            </w:r>
          </w:p>
        </w:tc>
        <w:tc>
          <w:tcPr>
            <w:tcW w:w="1844" w:type="dxa"/>
            <w:vAlign w:val="center"/>
          </w:tcPr>
          <w:p w14:paraId="7B0AF677"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57.1</w:t>
            </w:r>
          </w:p>
        </w:tc>
      </w:tr>
      <w:tr w:rsidR="00A031A6" w14:paraId="5CDB8349" w14:textId="77777777">
        <w:trPr>
          <w:trHeight w:val="397"/>
        </w:trPr>
        <w:tc>
          <w:tcPr>
            <w:tcW w:w="988" w:type="dxa"/>
            <w:vAlign w:val="center"/>
          </w:tcPr>
          <w:p w14:paraId="47CBA830"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10</w:t>
            </w:r>
          </w:p>
        </w:tc>
        <w:tc>
          <w:tcPr>
            <w:tcW w:w="6237" w:type="dxa"/>
            <w:vAlign w:val="center"/>
          </w:tcPr>
          <w:p w14:paraId="6B002602"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Clean cooking with LPG</w:t>
            </w:r>
          </w:p>
        </w:tc>
        <w:tc>
          <w:tcPr>
            <w:tcW w:w="1844" w:type="dxa"/>
            <w:vAlign w:val="center"/>
          </w:tcPr>
          <w:p w14:paraId="7FBEFC21"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50.2</w:t>
            </w:r>
          </w:p>
        </w:tc>
      </w:tr>
      <w:tr w:rsidR="00A031A6" w14:paraId="7BF750BC" w14:textId="77777777">
        <w:trPr>
          <w:trHeight w:val="397"/>
        </w:trPr>
        <w:tc>
          <w:tcPr>
            <w:tcW w:w="988" w:type="dxa"/>
            <w:vAlign w:val="center"/>
          </w:tcPr>
          <w:p w14:paraId="6C4866C0"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11</w:t>
            </w:r>
          </w:p>
        </w:tc>
        <w:tc>
          <w:tcPr>
            <w:tcW w:w="6237" w:type="dxa"/>
            <w:vAlign w:val="center"/>
          </w:tcPr>
          <w:p w14:paraId="309ACEC9"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Current policy</w:t>
            </w:r>
          </w:p>
        </w:tc>
        <w:tc>
          <w:tcPr>
            <w:tcW w:w="1844" w:type="dxa"/>
            <w:vAlign w:val="center"/>
          </w:tcPr>
          <w:p w14:paraId="3DFBB263"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34.6</w:t>
            </w:r>
          </w:p>
        </w:tc>
      </w:tr>
      <w:tr w:rsidR="00A031A6" w14:paraId="1767201F" w14:textId="77777777">
        <w:trPr>
          <w:trHeight w:val="397"/>
        </w:trPr>
        <w:tc>
          <w:tcPr>
            <w:tcW w:w="988" w:type="dxa"/>
            <w:vAlign w:val="center"/>
          </w:tcPr>
          <w:p w14:paraId="59E13528" w14:textId="77777777" w:rsidR="00A031A6" w:rsidRDefault="00916FD0">
            <w:pPr>
              <w:spacing w:before="120" w:after="120"/>
              <w:jc w:val="center"/>
              <w:rPr>
                <w:rFonts w:ascii="Arial" w:eastAsia="Arial" w:hAnsi="Arial" w:cs="Arial"/>
                <w:sz w:val="20"/>
                <w:szCs w:val="20"/>
              </w:rPr>
            </w:pPr>
            <w:r>
              <w:rPr>
                <w:rFonts w:ascii="Arial" w:eastAsia="Arial" w:hAnsi="Arial" w:cs="Arial"/>
                <w:sz w:val="20"/>
                <w:szCs w:val="20"/>
              </w:rPr>
              <w:t>12</w:t>
            </w:r>
          </w:p>
        </w:tc>
        <w:tc>
          <w:tcPr>
            <w:tcW w:w="6237" w:type="dxa"/>
            <w:vAlign w:val="center"/>
          </w:tcPr>
          <w:p w14:paraId="2FC118EC" w14:textId="77777777" w:rsidR="00A031A6" w:rsidRDefault="00916FD0">
            <w:pPr>
              <w:spacing w:before="120" w:after="120"/>
              <w:rPr>
                <w:rFonts w:ascii="Arial" w:eastAsia="Arial" w:hAnsi="Arial" w:cs="Arial"/>
                <w:sz w:val="20"/>
                <w:szCs w:val="20"/>
              </w:rPr>
            </w:pPr>
            <w:r>
              <w:rPr>
                <w:rFonts w:ascii="Arial" w:eastAsia="Arial" w:hAnsi="Arial" w:cs="Arial"/>
                <w:sz w:val="20"/>
                <w:szCs w:val="20"/>
              </w:rPr>
              <w:t>Business-as-usual</w:t>
            </w:r>
          </w:p>
        </w:tc>
        <w:tc>
          <w:tcPr>
            <w:tcW w:w="1844" w:type="dxa"/>
            <w:vAlign w:val="center"/>
          </w:tcPr>
          <w:p w14:paraId="1DE5E3F6" w14:textId="77777777" w:rsidR="00A031A6" w:rsidRDefault="00916FD0">
            <w:pPr>
              <w:spacing w:before="120" w:after="120"/>
              <w:jc w:val="center"/>
              <w:rPr>
                <w:rFonts w:ascii="Arial" w:eastAsia="Arial" w:hAnsi="Arial" w:cs="Arial"/>
                <w:b/>
                <w:sz w:val="20"/>
                <w:szCs w:val="20"/>
              </w:rPr>
            </w:pPr>
            <w:r>
              <w:rPr>
                <w:rFonts w:ascii="Arial" w:eastAsia="Arial" w:hAnsi="Arial" w:cs="Arial"/>
                <w:b/>
                <w:sz w:val="20"/>
                <w:szCs w:val="20"/>
              </w:rPr>
              <w:t>23.6</w:t>
            </w:r>
          </w:p>
        </w:tc>
      </w:tr>
    </w:tbl>
    <w:p w14:paraId="6A48113D" w14:textId="77777777" w:rsidR="00A031A6" w:rsidRDefault="00A031A6">
      <w:pPr>
        <w:spacing w:line="360" w:lineRule="auto"/>
        <w:jc w:val="both"/>
        <w:rPr>
          <w:rFonts w:ascii="Arial" w:eastAsia="Arial" w:hAnsi="Arial" w:cs="Arial"/>
          <w:sz w:val="20"/>
          <w:szCs w:val="20"/>
        </w:rPr>
      </w:pPr>
    </w:p>
    <w:p w14:paraId="69CA320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this scenario, Indonesia has the potential to increase the net benefits from the power sector by investing in renewables and, at the same time, to reduce GHG emissions beyond NDC targets. The retirement of existing coal-fired generation plants should be planned by policymakers. The phase-out of fossil fuel subsidies is another major benefit for Indonesia. By encouraging the use of electric cooking stoves, Indonesia can improve its benefits by targeting poor and vulnerable households compared to the current LPG subsidy programme which is poorly targeted.   </w:t>
      </w:r>
    </w:p>
    <w:p w14:paraId="0CEEA485" w14:textId="77777777" w:rsidR="00A031A6" w:rsidRDefault="00916FD0">
      <w:pPr>
        <w:pStyle w:val="Heading2"/>
        <w:numPr>
          <w:ilvl w:val="1"/>
          <w:numId w:val="36"/>
        </w:numPr>
      </w:pPr>
      <w:bookmarkStart w:id="106" w:name="_Toc62221433"/>
      <w:r>
        <w:t>Raising ambition – enhancing the NDC target and achieving SDG 7</w:t>
      </w:r>
      <w:bookmarkEnd w:id="106"/>
    </w:p>
    <w:p w14:paraId="3A2A319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This scenario achieves all SDG 7 targets and raises ambitions by enhancing NDC to align with the 1.5-degree pathway. Universal access to electricity is achieved by 2020, based on the electrification of rural households using off-grid renewable technologies. Universal access to clean cooking is achieved by 2030 by promoting the use of electric cooking stoves. The share of renewable energy in the total final energy consumption is increased to 28.6 per cent by expanding the share of renewables in electric power generation to 88 per cent and the rapid electrification at the end-use level. Energy efficiency improvements are projected to be 2.7 per cent, which is beyond the SDG 7 target of 1.53 per cent. </w:t>
      </w:r>
    </w:p>
    <w:p w14:paraId="7FBD85A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Based on socio-economic and environmental benefits, it is suggested that Indonesia should aspire to achieving emission reductions beyond the NDC target by stopping new investment in coal-fired power generation. Because investment in coal-fired generation is no longer a cheaper option for power </w:t>
      </w:r>
      <w:r>
        <w:rPr>
          <w:rFonts w:ascii="Arial" w:eastAsia="Arial" w:hAnsi="Arial" w:cs="Arial"/>
          <w:sz w:val="20"/>
          <w:szCs w:val="20"/>
        </w:rPr>
        <w:lastRenderedPageBreak/>
        <w:t xml:space="preserve">generation, the costs of renewables such as solar PV, wind, hydropower and geothermal have dropped significantly. </w:t>
      </w:r>
    </w:p>
    <w:p w14:paraId="24BD7E6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transition in this scenario would require an additional investment of IDR 1,574 trillion (US$110 billion), compared to the current policy scenario. The additional investment requirement can be eased by abolishing fossil fuel subsidies and reinvesting the IDR 1,012 trillion (US$71.2 billion) saved over the period of 10 years to 2030 into renewables. In addition, introducing carbon pricing of IDR 426,300/tCO2-e (US$30/tCO2-e) will add IDR 327 trillion (US$23 billion) over the 10 years to 2030. The remaining investment gap of IDR 235 trillion (US$16.6 billion) can be covered by introducing green bonds.</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031A6" w14:paraId="29B33FBC" w14:textId="77777777">
        <w:tc>
          <w:tcPr>
            <w:tcW w:w="9016" w:type="dxa"/>
          </w:tcPr>
          <w:p w14:paraId="14A6554A" w14:textId="77777777" w:rsidR="00A031A6" w:rsidRDefault="00916FD0">
            <w:pPr>
              <w:spacing w:before="60"/>
              <w:jc w:val="center"/>
              <w:rPr>
                <w:rFonts w:ascii="Arial" w:eastAsia="Arial" w:hAnsi="Arial" w:cs="Arial"/>
                <w:b/>
                <w:color w:val="0070C0"/>
                <w:sz w:val="24"/>
                <w:szCs w:val="24"/>
              </w:rPr>
            </w:pPr>
            <w:r>
              <w:rPr>
                <w:rFonts w:ascii="Arial" w:eastAsia="Arial" w:hAnsi="Arial" w:cs="Arial"/>
                <w:b/>
                <w:color w:val="0070C0"/>
                <w:sz w:val="24"/>
                <w:szCs w:val="24"/>
              </w:rPr>
              <w:t>Box 3. Enhancing Nationally Determined Contributions</w:t>
            </w:r>
          </w:p>
          <w:p w14:paraId="4C22A9A3"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Indonesia can achieve the reduction of GHG emissions beyond NDC targets in the energy sector. Policies to support the decarbonisation of electricity generation will help to achieve Paris Agreement targets and increase renewables.</w:t>
            </w:r>
          </w:p>
          <w:p w14:paraId="68D29D11"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In its NDC document, Indonesia has pledged to reduce GHG emissions by 29 per cent (unconditional) compared with BAU 41 per cent (conditional) with international support Government of Indonesia, 2020).The contribution of the energy sector towards these targets is 11 per cent (unconditional) and 14 per cent (conditional). Based on key global benchmarks for the Paris Agreement, a 1.5°C compatible pathway shows that a rapid decline in GHG and CO</w:t>
            </w:r>
            <w:r>
              <w:rPr>
                <w:rFonts w:ascii="Arial" w:eastAsia="Arial" w:hAnsi="Arial" w:cs="Arial"/>
                <w:sz w:val="20"/>
                <w:szCs w:val="20"/>
                <w:vertAlign w:val="subscript"/>
              </w:rPr>
              <w:t>2</w:t>
            </w:r>
            <w:r>
              <w:rPr>
                <w:rFonts w:ascii="Arial" w:eastAsia="Arial" w:hAnsi="Arial" w:cs="Arial"/>
                <w:sz w:val="20"/>
                <w:szCs w:val="20"/>
              </w:rPr>
              <w:t xml:space="preserve"> emissions by 45 per cent, compared with 2010 levels, will be achieved by 2030 (Climate Analytics, 2019). Indonesia can increase its ambitions and align its NDC with this pathway by reducing energy sector emissions by 18 per cent compared to the BAU. </w:t>
            </w:r>
          </w:p>
          <w:p w14:paraId="72E0809F"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Enhancing NDCs is possible and achievable in all the SDG scenarios analysed. The reduction in CO</w:t>
            </w:r>
            <w:r>
              <w:rPr>
                <w:rFonts w:ascii="Arial" w:eastAsia="Arial" w:hAnsi="Arial" w:cs="Arial"/>
                <w:sz w:val="20"/>
                <w:szCs w:val="20"/>
                <w:vertAlign w:val="subscript"/>
              </w:rPr>
              <w:t>2</w:t>
            </w:r>
            <w:r>
              <w:rPr>
                <w:rFonts w:ascii="Arial" w:eastAsia="Arial" w:hAnsi="Arial" w:cs="Arial"/>
                <w:sz w:val="20"/>
                <w:szCs w:val="20"/>
              </w:rPr>
              <w:t>-e emission is due to an integrated framework for achieving SDG 7 and NDC targets. For example, achieving universal access to electricity would increase emissions in BAU. However, in SDG scenarios, decentralized renewable energy-based generation leads to net zero emissions. Another example is in the transport sector, with the replacement of gasoline vehicles with electric vehicles (EVs). Fuel switching from gasoline to electricity leads to an increase in electricity demand. However, EVs have higher fuel efficiencies, and emissions depend on the grid emission factor, which is much lower than burning petroleum in internal combustion engines. Therefore, although EVs are considered to be an energy efficiency measure, they also help to mitigate GHG emissions.</w:t>
            </w:r>
          </w:p>
        </w:tc>
      </w:tr>
    </w:tbl>
    <w:p w14:paraId="5CA0DF65" w14:textId="77777777" w:rsidR="00A031A6" w:rsidRDefault="00A031A6">
      <w:bookmarkStart w:id="107" w:name="_zu0gcz" w:colFirst="0" w:colLast="0"/>
      <w:bookmarkEnd w:id="107"/>
    </w:p>
    <w:p w14:paraId="22A70633" w14:textId="77777777" w:rsidR="00A031A6" w:rsidRDefault="00916FD0">
      <w:pPr>
        <w:pStyle w:val="Heading2"/>
        <w:numPr>
          <w:ilvl w:val="1"/>
          <w:numId w:val="36"/>
        </w:numPr>
      </w:pPr>
      <w:bookmarkStart w:id="108" w:name="_Toc62221434"/>
      <w:r>
        <w:t>No new investment in coal-based power generation</w:t>
      </w:r>
      <w:bookmarkEnd w:id="108"/>
    </w:p>
    <w:p w14:paraId="7CA5AA91"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Stopping new investment in coal-fired power generation is essential to meeting the long-term targets of the Paris Agreement. Policymakers should cancel any coal-fired capacity addition and plan the retirement of existing coal-fired power plants. The importance of early action cannot be overstated. A schedule for the planned retirement of existing coal-fired power plants should be defined and forced-retired as quickly as possible.</w:t>
      </w:r>
    </w:p>
    <w:p w14:paraId="7A8D66EC"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1.5</w:t>
      </w:r>
      <m:oMath>
        <m:r>
          <w:rPr>
            <w:rFonts w:ascii="Cambria Math" w:eastAsia="Cambria Math" w:hAnsi="Cambria Math" w:cs="Cambria Math"/>
          </w:rPr>
          <m:t>℃</m:t>
        </m:r>
      </m:oMath>
      <w:r>
        <w:rPr>
          <w:rFonts w:ascii="Arial" w:eastAsia="Arial" w:hAnsi="Arial" w:cs="Arial"/>
          <w:sz w:val="20"/>
          <w:szCs w:val="20"/>
        </w:rPr>
        <w:t xml:space="preserve"> pathway requires countries in South Asia and South-East Asia to meet regional benchmarks of 50 per cent decarbonisation by 2030 and 100 per cent decarbonisation by 2050 (Climate Analytics, </w:t>
      </w:r>
      <w:r>
        <w:rPr>
          <w:rFonts w:ascii="Arial" w:eastAsia="Arial" w:hAnsi="Arial" w:cs="Arial"/>
          <w:sz w:val="20"/>
          <w:szCs w:val="20"/>
        </w:rPr>
        <w:lastRenderedPageBreak/>
        <w:t>2019). Indonesia’s current planned capacity addition of 27GW in RUPTL 2019-2028 will lead to a lock-in of coal-fired power generation and increase the risk of stranded assets in future due to the impact of climate change.</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031A6" w14:paraId="6F7F38A8" w14:textId="77777777">
        <w:tc>
          <w:tcPr>
            <w:tcW w:w="9016" w:type="dxa"/>
          </w:tcPr>
          <w:p w14:paraId="1DB25B74" w14:textId="77777777" w:rsidR="00A031A6" w:rsidRDefault="00916FD0">
            <w:pPr>
              <w:spacing w:before="120" w:after="120"/>
              <w:jc w:val="center"/>
              <w:rPr>
                <w:rFonts w:ascii="Arial" w:eastAsia="Arial" w:hAnsi="Arial" w:cs="Arial"/>
                <w:b/>
                <w:color w:val="0070C0"/>
                <w:sz w:val="24"/>
                <w:szCs w:val="24"/>
              </w:rPr>
            </w:pPr>
            <w:bookmarkStart w:id="109" w:name="_1yyy98l" w:colFirst="0" w:colLast="0"/>
            <w:bookmarkEnd w:id="109"/>
            <w:r>
              <w:rPr>
                <w:rFonts w:ascii="Arial" w:eastAsia="Arial" w:hAnsi="Arial" w:cs="Arial"/>
                <w:b/>
                <w:color w:val="0070C0"/>
                <w:sz w:val="24"/>
                <w:szCs w:val="24"/>
              </w:rPr>
              <w:t>Box 4. Coal power plants represent an enormous financial risk to shareholders and investors</w:t>
            </w:r>
          </w:p>
          <w:p w14:paraId="5E6B4462"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 xml:space="preserve">There are more financial benefits and economic reasons for stopping new investment in coal than some short-term impacts that the coal industry may face during the transition. With the sharp decline of prices during recent years, LCOEs of utility-scale renewables are already cheaper than new coal-based technologies, even without carbon capture and storage (CCS). With the forecast of further cost reductions of renewables up to 2025 (IRENA, 2016), and the potential for increases in the cost of coal, this difference is expected to widen further. </w:t>
            </w:r>
          </w:p>
          <w:p w14:paraId="542B5C3C"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Experts believe that soon there will be a point when it will be more economic to stop a coal-fired power plant and build a new solar PV plant, as the operating cost of a coal plant will outstrip the economic benefits. In Indonesia, based on the Government’s price cap of IDR 994,700 (US$70) per ton of coal, by 2030 it could be cheaper to build new solar PV plants than operating existing coal plants (Carbon Tracker, 2019). However, this inflection point would be seen much earlier if restrictions are put in place to help achieve the 1.5</w:t>
            </w:r>
            <w:r>
              <w:rPr>
                <w:rFonts w:ascii="Arial" w:eastAsia="Arial" w:hAnsi="Arial" w:cs="Arial"/>
                <w:sz w:val="20"/>
                <w:szCs w:val="20"/>
                <w:vertAlign w:val="superscript"/>
              </w:rPr>
              <w:t>0</w:t>
            </w:r>
            <w:r>
              <w:rPr>
                <w:rFonts w:ascii="Arial" w:eastAsia="Arial" w:hAnsi="Arial" w:cs="Arial"/>
                <w:sz w:val="20"/>
                <w:szCs w:val="20"/>
              </w:rPr>
              <w:t>C pathway, e.g., making CCS mandatory for coal plants. This will lead to stranded assets of investors. Stranded assets are those assets that at some time prior to the end of their economic life are no longer able to earn an economic return, i.e., a project fails to meet the required internal rate of return (IRR) of a company or an investor.</w:t>
            </w:r>
          </w:p>
          <w:p w14:paraId="1E7E5492"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Financial institutions are already taking their stance against this perceived risk by ceasing their financial support for coal plant development. Chubb Limited announced in July 2019 that it would no longer underwrite the construction and operation of new coal-fired plants or new risks for companies that generate more than 30 per cent of their revenues from coal mining or energy production from coal (Chubb, 2019). There are more than 100 global financial institutions, e.g., banks, insurers and credit facilities, who have analysed the economic risks of coal-based power plants and have announced their divestment from coal (IEEFA, 2019)</w:t>
            </w:r>
            <w:r>
              <w:t>.</w:t>
            </w:r>
          </w:p>
        </w:tc>
      </w:tr>
    </w:tbl>
    <w:p w14:paraId="7EAD7A24" w14:textId="77777777" w:rsidR="00A031A6" w:rsidRDefault="00A031A6">
      <w:pPr>
        <w:spacing w:line="360" w:lineRule="auto"/>
        <w:jc w:val="both"/>
        <w:rPr>
          <w:rFonts w:ascii="Arial" w:eastAsia="Arial" w:hAnsi="Arial" w:cs="Arial"/>
          <w:sz w:val="20"/>
          <w:szCs w:val="20"/>
        </w:rPr>
      </w:pPr>
    </w:p>
    <w:p w14:paraId="6033B3A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past, investment in coal-fired generation was a cheap and reliable, albeit polluting, method of generating electricity. This is no longer the case as renewables have matured and costs have dropped significantly. It is cheaper today to generate electricity from renewables such as solar, hydropower, geothermal and biomass compared to coal-fired technologies. </w:t>
      </w:r>
    </w:p>
    <w:p w14:paraId="3A811D1C" w14:textId="77777777" w:rsidR="00A031A6" w:rsidRDefault="00916FD0">
      <w:pPr>
        <w:pStyle w:val="Heading3"/>
        <w:numPr>
          <w:ilvl w:val="2"/>
          <w:numId w:val="36"/>
        </w:numPr>
        <w:ind w:left="567"/>
      </w:pPr>
      <w:bookmarkStart w:id="110" w:name="_Toc62221435"/>
      <w:r>
        <w:t>Carbon capture and storage for coal-fired power plants in Indonesia</w:t>
      </w:r>
      <w:bookmarkEnd w:id="110"/>
    </w:p>
    <w:p w14:paraId="0646A18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Government of Indonesia has considered CCS in the national energy strategy through the pilot project, Merbau Gas Gathering Station, to capture and store 50-100 tCO2 per day. However, the cost-effectiveness of CCS varies widely with geography and project sites. An in-depth feasibility study to identify CCS-readiness should be undertaken prior to the implementation of CCS. Moreover, most </w:t>
      </w:r>
      <w:r>
        <w:rPr>
          <w:rFonts w:ascii="Arial" w:eastAsia="Arial" w:hAnsi="Arial" w:cs="Arial"/>
          <w:sz w:val="20"/>
          <w:szCs w:val="20"/>
        </w:rPr>
        <w:lastRenderedPageBreak/>
        <w:t>renewable energy technologies are now cheaper than coal-based technologies without CCS. The addition of CCS will further increase the difference.</w:t>
      </w:r>
    </w:p>
    <w:p w14:paraId="5EAF702A" w14:textId="77777777" w:rsidR="00A031A6" w:rsidRDefault="00916FD0">
      <w:pPr>
        <w:pStyle w:val="Heading2"/>
        <w:numPr>
          <w:ilvl w:val="1"/>
          <w:numId w:val="36"/>
        </w:numPr>
      </w:pPr>
      <w:bookmarkStart w:id="111" w:name="_Toc62221436"/>
      <w:r>
        <w:t>Putting a price on carbon will help to reduce investment gap</w:t>
      </w:r>
      <w:bookmarkEnd w:id="111"/>
    </w:p>
    <w:p w14:paraId="0B6ED6F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Carbon pricing is recognized around the world as an effective policy tool to facilitate sustainable energy transition. The external cost of carbon emissions such as health damage, climate impacts and social costs paid by society should be shifted towards the producers and consumers responsible for producing pollution-causing goods by directly setting a price on carbon emissions.</w:t>
      </w:r>
    </w:p>
    <w:p w14:paraId="3639CE8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There are two main mechanisms for carbon pricing – emission trading schemes (cap and trade) and carbon taxation. </w:t>
      </w:r>
    </w:p>
    <w:p w14:paraId="62B4A9C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Emission trading systems place a cap on CO</w:t>
      </w:r>
      <w:r>
        <w:rPr>
          <w:rFonts w:ascii="Arial" w:eastAsia="Arial" w:hAnsi="Arial" w:cs="Arial"/>
          <w:sz w:val="20"/>
          <w:szCs w:val="20"/>
          <w:vertAlign w:val="subscript"/>
        </w:rPr>
        <w:t>2</w:t>
      </w:r>
      <w:r>
        <w:rPr>
          <w:rFonts w:ascii="Arial" w:eastAsia="Arial" w:hAnsi="Arial" w:cs="Arial"/>
          <w:sz w:val="20"/>
          <w:szCs w:val="20"/>
        </w:rPr>
        <w:t>-e emissions and allow participants to trade an allowance of CO</w:t>
      </w:r>
      <w:r>
        <w:rPr>
          <w:rFonts w:ascii="Arial" w:eastAsia="Arial" w:hAnsi="Arial" w:cs="Arial"/>
          <w:sz w:val="20"/>
          <w:szCs w:val="20"/>
          <w:vertAlign w:val="subscript"/>
        </w:rPr>
        <w:t>2</w:t>
      </w:r>
      <w:r>
        <w:rPr>
          <w:rFonts w:ascii="Arial" w:eastAsia="Arial" w:hAnsi="Arial" w:cs="Arial"/>
          <w:sz w:val="20"/>
          <w:szCs w:val="20"/>
        </w:rPr>
        <w:t xml:space="preserve">-e emissions under the cap. The mechanism results in a wealth transfer from high-emission to low-emission technology proponents, increasing the attractiveness of low-emission technology investments. Indonesia is currently in the process of developing a domestic Emissions Trading System (ETS) for the power and industry sectors. </w:t>
      </w:r>
    </w:p>
    <w:p w14:paraId="47E1C22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Carbon taxes simply put a price on the GHG emissions or on the carbon content of fuels. In the NEXSTEP analysis a carbon price of IDR 426,300 (US$30) per ton, in the current policy scenario, will raise IDR 1,435 trillion (US$101 billion) in the analysis period of 2020-2030. Governments may choose to treat this as a revenue stream or hypothecate these funds to use it as a wealth transfer mechanism.</w:t>
      </w:r>
    </w:p>
    <w:p w14:paraId="3AE25F5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As of 2019, 55 per cent of 185 parties that submitted the NDC document have stated plans for or are considering the implementation of carbon pricing. According to the World Bank, a minimal price range of IDR 710,500-IDR 1,421,000 (US$50-100)/tCO2-e is required by 2030 to achieve the targets of the Paris Agreement on climate change (World Bank, 2020). Sweden is an example of successful implementation of the carbon pricing mechanism. Introduced in 1991, Sweden’s carbon tax is currently IDR 1,804,670 (US$127)/tCO2-e. Funds raised from this mechanism are used to develop energy efficient technologies such as biomass-based district heating.</w:t>
      </w:r>
    </w:p>
    <w:p w14:paraId="197021D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this analysis, a price on carbon has been considered as a mechanism for limiting emissions and levelling the playing field for low-carbon technologies.</w:t>
      </w:r>
    </w:p>
    <w:p w14:paraId="7DCDEB8C" w14:textId="77777777" w:rsidR="00A031A6" w:rsidRDefault="00916FD0">
      <w:pPr>
        <w:pStyle w:val="Heading2"/>
        <w:numPr>
          <w:ilvl w:val="1"/>
          <w:numId w:val="36"/>
        </w:numPr>
      </w:pPr>
      <w:bookmarkStart w:id="112" w:name="_Toc62221437"/>
      <w:r>
        <w:t>Phasing out the fossil fuel subsidy will level the playing field for renewables</w:t>
      </w:r>
      <w:bookmarkEnd w:id="112"/>
    </w:p>
    <w:p w14:paraId="5FD24288" w14:textId="77777777" w:rsidR="00A031A6" w:rsidRDefault="00916FD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Indonesia needs to reform its fossil fuel subsidy programme. Policymakers should abolish fossil fuel subsidies by the Government of Indonesia to save an annual fiscal cost of IDR 100.9 trillion (US$7.1 billion). The NEXSTEP analysis considers both consumer-side energy subsidies and the generation-side financial support and tax incentives in calculating an annual fiscal cost of fossil fuel subsidies by the Government of Indonesia. </w:t>
      </w:r>
    </w:p>
    <w:p w14:paraId="204F522B" w14:textId="77777777" w:rsidR="00A031A6" w:rsidRDefault="00916FD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Indonesia plans to provide energy subsidies only to poor and vulnerable households through LPG, kerosene and electricity subsidies. However, in 2017 only 13 million poor and vulnerable households received subsidised 3-kg LPG cylinders compared with 19.8 million rich household beneficiaries. This indicates that the LPG subsidy programme is poorly targeted, with an annual fiscal cost of IDR 41.2 trillion (US$2.9 billion) to the Government (OECD, 2019).</w:t>
      </w:r>
    </w:p>
    <w:p w14:paraId="1E1011A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Indonesia also provides a fossil fuel subsidy on the generation side. A coal price cap is set at IDR 994,700 (US$70)/ton for electricity generators and a domestic market obligation at 25 per cent of the total production volume by coal-mining companies. The Government of Indonesia estimates that the total value of the coal price cap to PLN was IDR 14.16 trillion (US$1.7 billion) in 2018. A gas price cap is set at IDR 85,260 (US$6)/MMBtu; the total value of this natural gas price cap is estimated to be IDR 15.63 trillion (US$1.1 billion), based on the market price of IDR 119,364 (US$8.4)/MMBtu. Indirect subsidies such as tax exemptions, loan guarantees and preferential royalty rates were quantified at IDR 9.09 trillion (US$0.64 billion) by the Global Subsidies Initiative in 2015. Table 6 presents an overview of the fossil fuel subsidy reform elements for Indonesia. </w:t>
      </w:r>
    </w:p>
    <w:p w14:paraId="69818822"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13" w:name="_3x8tuzt" w:colFirst="0" w:colLast="0"/>
      <w:bookmarkEnd w:id="113"/>
      <w:r>
        <w:rPr>
          <w:rFonts w:ascii="Arial" w:eastAsia="Arial" w:hAnsi="Arial" w:cs="Arial"/>
          <w:b/>
          <w:color w:val="000000"/>
          <w:sz w:val="20"/>
          <w:szCs w:val="20"/>
        </w:rPr>
        <w:t>Table 6. Indonesia Fossil Fuel subsidy reform</w:t>
      </w:r>
    </w:p>
    <w:tbl>
      <w:tblPr>
        <w:tblStyle w:val="a9"/>
        <w:tblW w:w="9016" w:type="dxa"/>
        <w:tblLayout w:type="fixed"/>
        <w:tblLook w:val="0400" w:firstRow="0" w:lastRow="0" w:firstColumn="0" w:lastColumn="0" w:noHBand="0" w:noVBand="1"/>
      </w:tblPr>
      <w:tblGrid>
        <w:gridCol w:w="1596"/>
        <w:gridCol w:w="1234"/>
        <w:gridCol w:w="1329"/>
        <w:gridCol w:w="1744"/>
        <w:gridCol w:w="3113"/>
      </w:tblGrid>
      <w:tr w:rsidR="00A031A6" w14:paraId="74C1E701" w14:textId="77777777">
        <w:trPr>
          <w:trHeight w:val="798"/>
        </w:trPr>
        <w:tc>
          <w:tcPr>
            <w:tcW w:w="159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9506C1A"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Sector</w:t>
            </w:r>
          </w:p>
        </w:tc>
        <w:tc>
          <w:tcPr>
            <w:tcW w:w="1234" w:type="dxa"/>
            <w:tcBorders>
              <w:top w:val="single" w:sz="4" w:space="0" w:color="000000"/>
              <w:left w:val="nil"/>
              <w:bottom w:val="single" w:sz="4" w:space="0" w:color="000000"/>
              <w:right w:val="single" w:sz="4" w:space="0" w:color="000000"/>
            </w:tcBorders>
            <w:shd w:val="clear" w:color="auto" w:fill="00B0F0"/>
            <w:vAlign w:val="center"/>
          </w:tcPr>
          <w:p w14:paraId="0D4FDC91"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Subsidy</w:t>
            </w:r>
          </w:p>
        </w:tc>
        <w:tc>
          <w:tcPr>
            <w:tcW w:w="1329" w:type="dxa"/>
            <w:tcBorders>
              <w:top w:val="single" w:sz="4" w:space="0" w:color="000000"/>
              <w:left w:val="nil"/>
              <w:bottom w:val="single" w:sz="4" w:space="0" w:color="000000"/>
              <w:right w:val="single" w:sz="4" w:space="0" w:color="000000"/>
            </w:tcBorders>
            <w:shd w:val="clear" w:color="auto" w:fill="00B0F0"/>
            <w:vAlign w:val="center"/>
          </w:tcPr>
          <w:p w14:paraId="4BCD6637"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Partial (demand)</w:t>
            </w:r>
          </w:p>
        </w:tc>
        <w:tc>
          <w:tcPr>
            <w:tcW w:w="1744" w:type="dxa"/>
            <w:tcBorders>
              <w:top w:val="single" w:sz="4" w:space="0" w:color="000000"/>
              <w:left w:val="nil"/>
              <w:bottom w:val="single" w:sz="4" w:space="0" w:color="000000"/>
              <w:right w:val="single" w:sz="4" w:space="0" w:color="000000"/>
            </w:tcBorders>
            <w:shd w:val="clear" w:color="auto" w:fill="00B0F0"/>
            <w:vAlign w:val="center"/>
          </w:tcPr>
          <w:p w14:paraId="21D72705"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Complete (demand + generation)</w:t>
            </w:r>
          </w:p>
        </w:tc>
        <w:tc>
          <w:tcPr>
            <w:tcW w:w="3113" w:type="dxa"/>
            <w:tcBorders>
              <w:top w:val="single" w:sz="4" w:space="0" w:color="000000"/>
              <w:left w:val="nil"/>
              <w:bottom w:val="single" w:sz="4" w:space="0" w:color="000000"/>
              <w:right w:val="single" w:sz="4" w:space="0" w:color="000000"/>
            </w:tcBorders>
            <w:shd w:val="clear" w:color="auto" w:fill="00B0F0"/>
            <w:vAlign w:val="center"/>
          </w:tcPr>
          <w:p w14:paraId="5600B8E4"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Reform</w:t>
            </w:r>
          </w:p>
        </w:tc>
      </w:tr>
      <w:tr w:rsidR="00A031A6" w14:paraId="58131A42" w14:textId="77777777">
        <w:trPr>
          <w:trHeight w:val="798"/>
        </w:trPr>
        <w:tc>
          <w:tcPr>
            <w:tcW w:w="1596" w:type="dxa"/>
            <w:vMerge w:val="restart"/>
            <w:tcBorders>
              <w:top w:val="nil"/>
              <w:left w:val="single" w:sz="4" w:space="0" w:color="000000"/>
              <w:bottom w:val="single" w:sz="4" w:space="0" w:color="000000"/>
              <w:right w:val="single" w:sz="4" w:space="0" w:color="000000"/>
            </w:tcBorders>
            <w:vAlign w:val="center"/>
          </w:tcPr>
          <w:p w14:paraId="4DC80BF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Residential</w:t>
            </w:r>
          </w:p>
        </w:tc>
        <w:tc>
          <w:tcPr>
            <w:tcW w:w="1234" w:type="dxa"/>
            <w:tcBorders>
              <w:top w:val="nil"/>
              <w:left w:val="nil"/>
              <w:bottom w:val="single" w:sz="4" w:space="0" w:color="000000"/>
              <w:right w:val="single" w:sz="4" w:space="0" w:color="000000"/>
            </w:tcBorders>
            <w:vAlign w:val="center"/>
          </w:tcPr>
          <w:p w14:paraId="0E7F230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3-kg LPG subsidy</w:t>
            </w:r>
          </w:p>
        </w:tc>
        <w:tc>
          <w:tcPr>
            <w:tcW w:w="1329" w:type="dxa"/>
            <w:tcBorders>
              <w:top w:val="nil"/>
              <w:left w:val="nil"/>
              <w:bottom w:val="single" w:sz="4" w:space="0" w:color="000000"/>
              <w:right w:val="single" w:sz="4" w:space="0" w:color="000000"/>
            </w:tcBorders>
            <w:vAlign w:val="center"/>
          </w:tcPr>
          <w:p w14:paraId="3E705EE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1744" w:type="dxa"/>
            <w:tcBorders>
              <w:top w:val="nil"/>
              <w:left w:val="nil"/>
              <w:bottom w:val="single" w:sz="4" w:space="0" w:color="000000"/>
              <w:right w:val="single" w:sz="4" w:space="0" w:color="000000"/>
            </w:tcBorders>
            <w:vAlign w:val="center"/>
          </w:tcPr>
          <w:p w14:paraId="77F65C3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3113" w:type="dxa"/>
            <w:tcBorders>
              <w:top w:val="single" w:sz="4" w:space="0" w:color="000000"/>
              <w:left w:val="nil"/>
              <w:bottom w:val="single" w:sz="4" w:space="0" w:color="000000"/>
              <w:right w:val="single" w:sz="4" w:space="0" w:color="000000"/>
            </w:tcBorders>
            <w:vAlign w:val="center"/>
          </w:tcPr>
          <w:p w14:paraId="413CE46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 from LPG for poor and vulnerable households</w:t>
            </w:r>
          </w:p>
        </w:tc>
      </w:tr>
      <w:tr w:rsidR="00A031A6" w14:paraId="4F15379B" w14:textId="77777777">
        <w:trPr>
          <w:trHeight w:val="798"/>
        </w:trPr>
        <w:tc>
          <w:tcPr>
            <w:tcW w:w="1596" w:type="dxa"/>
            <w:vMerge/>
            <w:tcBorders>
              <w:top w:val="nil"/>
              <w:left w:val="single" w:sz="4" w:space="0" w:color="000000"/>
              <w:bottom w:val="single" w:sz="4" w:space="0" w:color="000000"/>
              <w:right w:val="single" w:sz="4" w:space="0" w:color="000000"/>
            </w:tcBorders>
            <w:vAlign w:val="center"/>
          </w:tcPr>
          <w:p w14:paraId="6FE343D2" w14:textId="77777777"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1234" w:type="dxa"/>
            <w:tcBorders>
              <w:top w:val="nil"/>
              <w:left w:val="nil"/>
              <w:bottom w:val="single" w:sz="4" w:space="0" w:color="000000"/>
              <w:right w:val="single" w:sz="4" w:space="0" w:color="000000"/>
            </w:tcBorders>
            <w:vAlign w:val="center"/>
          </w:tcPr>
          <w:p w14:paraId="7CADB41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Kerosene subsidy</w:t>
            </w:r>
          </w:p>
        </w:tc>
        <w:tc>
          <w:tcPr>
            <w:tcW w:w="1329" w:type="dxa"/>
            <w:tcBorders>
              <w:top w:val="nil"/>
              <w:left w:val="nil"/>
              <w:bottom w:val="single" w:sz="4" w:space="0" w:color="000000"/>
              <w:right w:val="single" w:sz="4" w:space="0" w:color="000000"/>
            </w:tcBorders>
            <w:vAlign w:val="center"/>
          </w:tcPr>
          <w:p w14:paraId="2EE1D5D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1744" w:type="dxa"/>
            <w:tcBorders>
              <w:top w:val="nil"/>
              <w:left w:val="nil"/>
              <w:bottom w:val="single" w:sz="4" w:space="0" w:color="000000"/>
              <w:right w:val="single" w:sz="4" w:space="0" w:color="000000"/>
            </w:tcBorders>
            <w:vAlign w:val="center"/>
          </w:tcPr>
          <w:p w14:paraId="28D5F8C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c>
          <w:tcPr>
            <w:tcW w:w="3113" w:type="dxa"/>
            <w:tcBorders>
              <w:top w:val="single" w:sz="4" w:space="0" w:color="000000"/>
              <w:left w:val="nil"/>
              <w:bottom w:val="single" w:sz="4" w:space="0" w:color="000000"/>
              <w:right w:val="single" w:sz="4" w:space="0" w:color="000000"/>
            </w:tcBorders>
            <w:vAlign w:val="center"/>
          </w:tcPr>
          <w:p w14:paraId="33B5589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stoves</w:t>
            </w:r>
          </w:p>
        </w:tc>
      </w:tr>
      <w:tr w:rsidR="00A031A6" w14:paraId="74CDC1BE" w14:textId="77777777">
        <w:trPr>
          <w:trHeight w:val="798"/>
        </w:trPr>
        <w:tc>
          <w:tcPr>
            <w:tcW w:w="1596" w:type="dxa"/>
            <w:tcBorders>
              <w:top w:val="nil"/>
              <w:left w:val="single" w:sz="4" w:space="0" w:color="000000"/>
              <w:bottom w:val="single" w:sz="4" w:space="0" w:color="000000"/>
              <w:right w:val="single" w:sz="4" w:space="0" w:color="000000"/>
            </w:tcBorders>
            <w:vAlign w:val="center"/>
          </w:tcPr>
          <w:p w14:paraId="7C03147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Transportation</w:t>
            </w:r>
          </w:p>
        </w:tc>
        <w:tc>
          <w:tcPr>
            <w:tcW w:w="1234" w:type="dxa"/>
            <w:tcBorders>
              <w:top w:val="nil"/>
              <w:left w:val="nil"/>
              <w:bottom w:val="single" w:sz="4" w:space="0" w:color="000000"/>
              <w:right w:val="single" w:sz="4" w:space="0" w:color="000000"/>
            </w:tcBorders>
            <w:vAlign w:val="center"/>
          </w:tcPr>
          <w:p w14:paraId="1D350D4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Diesel subsidy</w:t>
            </w:r>
          </w:p>
        </w:tc>
        <w:tc>
          <w:tcPr>
            <w:tcW w:w="1329" w:type="dxa"/>
            <w:tcBorders>
              <w:top w:val="nil"/>
              <w:left w:val="nil"/>
              <w:bottom w:val="single" w:sz="4" w:space="0" w:color="000000"/>
              <w:right w:val="single" w:sz="4" w:space="0" w:color="000000"/>
            </w:tcBorders>
            <w:vAlign w:val="center"/>
          </w:tcPr>
          <w:p w14:paraId="174BDE0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1744" w:type="dxa"/>
            <w:tcBorders>
              <w:top w:val="nil"/>
              <w:left w:val="nil"/>
              <w:bottom w:val="single" w:sz="4" w:space="0" w:color="000000"/>
              <w:right w:val="single" w:sz="4" w:space="0" w:color="000000"/>
            </w:tcBorders>
            <w:vAlign w:val="center"/>
          </w:tcPr>
          <w:p w14:paraId="5491559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14:paraId="668E1BC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Transition to electric buses and electric taxis</w:t>
            </w:r>
          </w:p>
        </w:tc>
      </w:tr>
      <w:tr w:rsidR="00A031A6" w14:paraId="0D756737" w14:textId="77777777">
        <w:trPr>
          <w:trHeight w:val="798"/>
        </w:trPr>
        <w:tc>
          <w:tcPr>
            <w:tcW w:w="1596" w:type="dxa"/>
            <w:vMerge w:val="restart"/>
            <w:tcBorders>
              <w:top w:val="nil"/>
              <w:left w:val="single" w:sz="4" w:space="0" w:color="000000"/>
              <w:bottom w:val="single" w:sz="4" w:space="0" w:color="000000"/>
              <w:right w:val="single" w:sz="4" w:space="0" w:color="000000"/>
            </w:tcBorders>
            <w:vAlign w:val="center"/>
          </w:tcPr>
          <w:p w14:paraId="148E854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Electric power generation</w:t>
            </w:r>
          </w:p>
        </w:tc>
        <w:tc>
          <w:tcPr>
            <w:tcW w:w="1234" w:type="dxa"/>
            <w:tcBorders>
              <w:top w:val="nil"/>
              <w:left w:val="nil"/>
              <w:bottom w:val="single" w:sz="4" w:space="0" w:color="000000"/>
              <w:right w:val="single" w:sz="4" w:space="0" w:color="000000"/>
            </w:tcBorders>
            <w:vAlign w:val="center"/>
          </w:tcPr>
          <w:p w14:paraId="3A9C5E0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Coal price cap US$70/Ton</w:t>
            </w:r>
          </w:p>
        </w:tc>
        <w:tc>
          <w:tcPr>
            <w:tcW w:w="1329" w:type="dxa"/>
            <w:tcBorders>
              <w:top w:val="nil"/>
              <w:left w:val="nil"/>
              <w:bottom w:val="single" w:sz="4" w:space="0" w:color="000000"/>
              <w:right w:val="single" w:sz="4" w:space="0" w:color="000000"/>
            </w:tcBorders>
            <w:vAlign w:val="center"/>
          </w:tcPr>
          <w:p w14:paraId="1BD0B6F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Present</w:t>
            </w:r>
          </w:p>
        </w:tc>
        <w:tc>
          <w:tcPr>
            <w:tcW w:w="1744" w:type="dxa"/>
            <w:tcBorders>
              <w:top w:val="nil"/>
              <w:left w:val="nil"/>
              <w:bottom w:val="single" w:sz="4" w:space="0" w:color="000000"/>
              <w:right w:val="single" w:sz="4" w:space="0" w:color="000000"/>
            </w:tcBorders>
            <w:vAlign w:val="center"/>
          </w:tcPr>
          <w:p w14:paraId="310916C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14:paraId="44BC78D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Coal price based on market price</w:t>
            </w:r>
          </w:p>
        </w:tc>
      </w:tr>
      <w:tr w:rsidR="00A031A6" w14:paraId="6312973D" w14:textId="77777777">
        <w:trPr>
          <w:trHeight w:val="798"/>
        </w:trPr>
        <w:tc>
          <w:tcPr>
            <w:tcW w:w="1596" w:type="dxa"/>
            <w:vMerge/>
            <w:tcBorders>
              <w:top w:val="nil"/>
              <w:left w:val="single" w:sz="4" w:space="0" w:color="000000"/>
              <w:bottom w:val="single" w:sz="4" w:space="0" w:color="000000"/>
              <w:right w:val="single" w:sz="4" w:space="0" w:color="000000"/>
            </w:tcBorders>
            <w:vAlign w:val="center"/>
          </w:tcPr>
          <w:p w14:paraId="6C0573E8" w14:textId="77777777"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1234" w:type="dxa"/>
            <w:tcBorders>
              <w:top w:val="nil"/>
              <w:left w:val="nil"/>
              <w:bottom w:val="single" w:sz="4" w:space="0" w:color="000000"/>
              <w:right w:val="single" w:sz="4" w:space="0" w:color="000000"/>
            </w:tcBorders>
            <w:vAlign w:val="center"/>
          </w:tcPr>
          <w:p w14:paraId="283C7DB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Natural gas price cap –  US$6/MMBtu</w:t>
            </w:r>
          </w:p>
        </w:tc>
        <w:tc>
          <w:tcPr>
            <w:tcW w:w="1329" w:type="dxa"/>
            <w:tcBorders>
              <w:top w:val="nil"/>
              <w:left w:val="nil"/>
              <w:bottom w:val="single" w:sz="4" w:space="0" w:color="000000"/>
              <w:right w:val="single" w:sz="4" w:space="0" w:color="000000"/>
            </w:tcBorders>
            <w:vAlign w:val="center"/>
          </w:tcPr>
          <w:p w14:paraId="33AEFD9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Present</w:t>
            </w:r>
          </w:p>
        </w:tc>
        <w:tc>
          <w:tcPr>
            <w:tcW w:w="1744" w:type="dxa"/>
            <w:tcBorders>
              <w:top w:val="nil"/>
              <w:left w:val="nil"/>
              <w:bottom w:val="single" w:sz="4" w:space="0" w:color="000000"/>
              <w:right w:val="single" w:sz="4" w:space="0" w:color="000000"/>
            </w:tcBorders>
            <w:vAlign w:val="center"/>
          </w:tcPr>
          <w:p w14:paraId="5B43613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14:paraId="42F5999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Natural gas price based on market price</w:t>
            </w:r>
          </w:p>
        </w:tc>
      </w:tr>
      <w:tr w:rsidR="00A031A6" w14:paraId="4273080B" w14:textId="77777777">
        <w:trPr>
          <w:trHeight w:val="798"/>
        </w:trPr>
        <w:tc>
          <w:tcPr>
            <w:tcW w:w="1596" w:type="dxa"/>
            <w:vMerge/>
            <w:tcBorders>
              <w:top w:val="nil"/>
              <w:left w:val="single" w:sz="4" w:space="0" w:color="000000"/>
              <w:bottom w:val="single" w:sz="4" w:space="0" w:color="000000"/>
              <w:right w:val="single" w:sz="4" w:space="0" w:color="000000"/>
            </w:tcBorders>
            <w:vAlign w:val="center"/>
          </w:tcPr>
          <w:p w14:paraId="5B40E762" w14:textId="77777777"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1234" w:type="dxa"/>
            <w:tcBorders>
              <w:top w:val="nil"/>
              <w:left w:val="nil"/>
              <w:bottom w:val="single" w:sz="4" w:space="0" w:color="000000"/>
              <w:right w:val="single" w:sz="4" w:space="0" w:color="000000"/>
            </w:tcBorders>
            <w:vAlign w:val="center"/>
          </w:tcPr>
          <w:p w14:paraId="63F98DD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Indirect coal generation subsidy</w:t>
            </w:r>
          </w:p>
        </w:tc>
        <w:tc>
          <w:tcPr>
            <w:tcW w:w="1329" w:type="dxa"/>
            <w:tcBorders>
              <w:top w:val="nil"/>
              <w:left w:val="nil"/>
              <w:bottom w:val="single" w:sz="4" w:space="0" w:color="000000"/>
              <w:right w:val="single" w:sz="4" w:space="0" w:color="000000"/>
            </w:tcBorders>
            <w:vAlign w:val="center"/>
          </w:tcPr>
          <w:p w14:paraId="77C358E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Present</w:t>
            </w:r>
          </w:p>
        </w:tc>
        <w:tc>
          <w:tcPr>
            <w:tcW w:w="1744" w:type="dxa"/>
            <w:tcBorders>
              <w:top w:val="nil"/>
              <w:left w:val="nil"/>
              <w:bottom w:val="single" w:sz="4" w:space="0" w:color="000000"/>
              <w:right w:val="single" w:sz="4" w:space="0" w:color="000000"/>
            </w:tcBorders>
            <w:vAlign w:val="center"/>
          </w:tcPr>
          <w:p w14:paraId="1C359F8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Removed</w:t>
            </w:r>
          </w:p>
        </w:tc>
        <w:tc>
          <w:tcPr>
            <w:tcW w:w="3113" w:type="dxa"/>
            <w:tcBorders>
              <w:top w:val="single" w:sz="4" w:space="0" w:color="000000"/>
              <w:left w:val="nil"/>
              <w:bottom w:val="single" w:sz="4" w:space="0" w:color="000000"/>
              <w:right w:val="single" w:sz="4" w:space="0" w:color="000000"/>
            </w:tcBorders>
            <w:vAlign w:val="center"/>
          </w:tcPr>
          <w:p w14:paraId="5035FE8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Tax exemptions, loan guarantees, preferential royalty rates abolished</w:t>
            </w:r>
          </w:p>
        </w:tc>
      </w:tr>
    </w:tbl>
    <w:p w14:paraId="520856E7" w14:textId="77777777" w:rsidR="00A031A6" w:rsidRDefault="00A031A6"/>
    <w:p w14:paraId="24FAABA5" w14:textId="77777777" w:rsidR="00A031A6" w:rsidRDefault="00916FD0">
      <w:pPr>
        <w:pStyle w:val="Heading2"/>
        <w:numPr>
          <w:ilvl w:val="1"/>
          <w:numId w:val="36"/>
        </w:numPr>
      </w:pPr>
      <w:bookmarkStart w:id="114" w:name="_Toc62221438"/>
      <w:r>
        <w:t>Green financing</w:t>
      </w:r>
      <w:bookmarkEnd w:id="114"/>
    </w:p>
    <w:p w14:paraId="3F97969C"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Accelerating green financing is critical to achieving the sustainable energy transition. Large capital investments in renewables will be required, but at the same time it will lead to even greater savings compared to fossil fuel-based generation. Policymakers need to work with central banks, regulatory authorities and investors to examine the possibility of developing a green finance policy and establishing a green finance bank or fund to help close the investment gap.</w:t>
      </w:r>
    </w:p>
    <w:p w14:paraId="3579A4F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 xml:space="preserve">Green bonds mobilize resources from domestic and international capital markets to finance climate solutions. In 2018, Indonesia issued through the Ministry of Finance its first sovereign green bond, raising IDR 17.76 trillion (US$1.25 billion) to finance eligible green projects. </w:t>
      </w:r>
    </w:p>
    <w:p w14:paraId="16BA0D0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technologies have relatively high financing costs in developing countries, which reflects their unattractive risk/return profile. This is because of their long-time horizon, high initial capital costs, illiquid equipment and project risks. Policymakers can reduce high financing costs using two methods – de-risking and direct incentives. De-risking has two basic forms – policy de-risking instruments that reduce risk and financial de-risking instruments that transfer risk.  Direct incentives are direct finance transfers or subsidies to low carbon investments. The United Nations Development Programme’s (UNDP) “De-risking Renewable Energy Investment”</w:t>
      </w:r>
      <w:r>
        <w:rPr>
          <w:rFonts w:ascii="Arial" w:eastAsia="Arial" w:hAnsi="Arial" w:cs="Arial"/>
          <w:sz w:val="20"/>
          <w:szCs w:val="20"/>
          <w:vertAlign w:val="superscript"/>
        </w:rPr>
        <w:footnoteReference w:id="9"/>
      </w:r>
      <w:r>
        <w:rPr>
          <w:rFonts w:ascii="Arial" w:eastAsia="Arial" w:hAnsi="Arial" w:cs="Arial"/>
          <w:sz w:val="20"/>
          <w:szCs w:val="20"/>
        </w:rPr>
        <w:t xml:space="preserve"> is an important guide for policymakers in developing strategies to reduce risks in renewable energy investment. </w:t>
      </w:r>
    </w:p>
    <w:p w14:paraId="7A922D43" w14:textId="77777777" w:rsidR="00A031A6" w:rsidRDefault="00916FD0">
      <w:pPr>
        <w:pStyle w:val="Heading2"/>
        <w:numPr>
          <w:ilvl w:val="1"/>
          <w:numId w:val="36"/>
        </w:numPr>
      </w:pPr>
      <w:bookmarkStart w:id="115" w:name="_Toc62221439"/>
      <w:r>
        <w:t>A holistic approach to reducing the investment gap</w:t>
      </w:r>
      <w:bookmarkEnd w:id="115"/>
    </w:p>
    <w:p w14:paraId="54DF693C"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An investment gap analysis was performed using different economic and fiscal measures to identify potential ways to reduce Indonesia’s burden of the additional investment. Different combinations of the three key measures was analysed: the removal of the fossil fuel subsidy; putting a price on carbon emissions; and the issuance of green bonds. </w:t>
      </w:r>
    </w:p>
    <w:p w14:paraId="19D5136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scenario “Enhancing NDC with phasing out the coal and fossil fuel subsidy” the investment required will be IDR 3,308 trillion (US$233 billion). (Figure 21) shows that phasing out the fossil fuel subsidy and investing the savings in renewables can fill the bulk of the additional investment gap – about IDR 1,574 trillion (US$110 billion) – compared to the investment of IDR 1,734 trillion (US$122 billion) under the current policy scenario. A price on carbon emissions has the potential to generate about one-fifth of the investment gap. The net benefits will be IDR 3,993 trillion (US$281 billion), an increase of IDR 696 trillion (US$49 billion) compared to current policy scenario.</w:t>
      </w:r>
    </w:p>
    <w:p w14:paraId="1E56A393" w14:textId="77777777" w:rsidR="00A031A6" w:rsidRDefault="00A031A6">
      <w:pPr>
        <w:spacing w:line="360" w:lineRule="auto"/>
        <w:jc w:val="both"/>
        <w:rPr>
          <w:rFonts w:ascii="Arial" w:eastAsia="Arial" w:hAnsi="Arial" w:cs="Arial"/>
          <w:sz w:val="20"/>
          <w:szCs w:val="20"/>
        </w:rPr>
      </w:pPr>
    </w:p>
    <w:p w14:paraId="7CCDFE9D"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16" w:name="_3bj1y38" w:colFirst="0" w:colLast="0"/>
      <w:bookmarkEnd w:id="116"/>
      <w:r>
        <w:rPr>
          <w:rFonts w:ascii="Arial" w:eastAsia="Arial" w:hAnsi="Arial" w:cs="Arial"/>
          <w:b/>
          <w:color w:val="000000"/>
          <w:sz w:val="20"/>
          <w:szCs w:val="20"/>
        </w:rPr>
        <w:lastRenderedPageBreak/>
        <w:t>Figure 21. Investment gap – enhancing NDC with reduced coal and fossil fuel subsidy</w:t>
      </w:r>
    </w:p>
    <w:p w14:paraId="05ADC06E" w14:textId="77777777" w:rsidR="00A031A6" w:rsidRDefault="00916FD0">
      <w:r>
        <w:rPr>
          <w:noProof/>
        </w:rPr>
        <w:drawing>
          <wp:inline distT="0" distB="0" distL="0" distR="0" wp14:anchorId="5733C69E" wp14:editId="78578BB6">
            <wp:extent cx="5731510" cy="3356610"/>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5731510" cy="3356610"/>
                    </a:xfrm>
                    <a:prstGeom prst="rect">
                      <a:avLst/>
                    </a:prstGeom>
                    <a:ln/>
                  </pic:spPr>
                </pic:pic>
              </a:graphicData>
            </a:graphic>
          </wp:inline>
        </w:drawing>
      </w:r>
    </w:p>
    <w:p w14:paraId="75BBE4F2" w14:textId="77777777" w:rsidR="00A031A6" w:rsidRDefault="00916FD0">
      <w:pPr>
        <w:pStyle w:val="Heading2"/>
        <w:numPr>
          <w:ilvl w:val="1"/>
          <w:numId w:val="36"/>
        </w:numPr>
      </w:pPr>
      <w:bookmarkStart w:id="117" w:name="_Toc62221440"/>
      <w:r>
        <w:t>Improving energy efficiency beyond the SDG 7 target</w:t>
      </w:r>
      <w:bookmarkEnd w:id="117"/>
    </w:p>
    <w:p w14:paraId="444AFF77"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Indonesia has the technical potential economic benefits to further accelerate energy efficiency beyond the SDG 7.3 target to achieve a reduction of 218 million BOE, compared with 158 million BOE to achieve the SDG 7 target. This will require the following changes and additions to the previous set of measures listed in subsection 4.3.3.</w:t>
      </w:r>
    </w:p>
    <w:p w14:paraId="0C375346" w14:textId="77777777" w:rsidR="00A031A6" w:rsidRDefault="00916FD0">
      <w:pPr>
        <w:pStyle w:val="Heading3"/>
        <w:spacing w:after="0"/>
        <w:ind w:firstLine="716"/>
      </w:pPr>
      <w:bookmarkStart w:id="118" w:name="_Toc62221441"/>
      <w:r>
        <w:t>Residential sector energy savings: 57 Million BOE</w:t>
      </w:r>
      <w:bookmarkEnd w:id="118"/>
    </w:p>
    <w:p w14:paraId="41824C24"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3EAFE542"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7CFAE931"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40D1034C"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14:paraId="2D785640"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14:paraId="7C918E58"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770EAF8A"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09713ECB" w14:textId="77777777"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20 million BOE annually.</w:t>
      </w:r>
    </w:p>
    <w:p w14:paraId="58829663" w14:textId="77777777" w:rsidR="00A031A6" w:rsidRDefault="00916FD0">
      <w:pPr>
        <w:pStyle w:val="Heading3"/>
        <w:ind w:firstLine="716"/>
      </w:pPr>
      <w:bookmarkStart w:id="119" w:name="_Toc62221442"/>
      <w:r>
        <w:t>Industrial sector energy savings : 45 Million BOE</w:t>
      </w:r>
      <w:bookmarkEnd w:id="119"/>
    </w:p>
    <w:p w14:paraId="24D026FD"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60747546"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14:paraId="6EC3F590"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lastRenderedPageBreak/>
        <w:t>Increasing the share of co-generation/combined heat and power in the pulp and paper industry from 80 per cent to 100 per cent, saving 1 million BOE annually;</w:t>
      </w:r>
    </w:p>
    <w:p w14:paraId="6EB08E2B"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064B0761" w14:textId="77777777"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0766BC2E" w14:textId="77777777" w:rsidR="00A031A6" w:rsidRDefault="00916FD0">
      <w:pPr>
        <w:pStyle w:val="Heading3"/>
        <w:ind w:firstLine="716"/>
      </w:pPr>
      <w:bookmarkStart w:id="120" w:name="_Toc62221443"/>
      <w:r>
        <w:t>Transport sector energy savings: 115 Million BOE</w:t>
      </w:r>
      <w:bookmarkEnd w:id="120"/>
    </w:p>
    <w:p w14:paraId="0B4DDD12"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0"/>
      </w:r>
      <w:r>
        <w:rPr>
          <w:rFonts w:ascii="Arial" w:eastAsia="Arial" w:hAnsi="Arial" w:cs="Arial"/>
          <w:color w:val="000000"/>
          <w:sz w:val="20"/>
          <w:szCs w:val="20"/>
        </w:rPr>
        <w:t xml:space="preserve"> of passenger buses to electric buses by 2030, saving 55 million barrels of oil equivalent (BOE) annually;</w:t>
      </w:r>
    </w:p>
    <w:p w14:paraId="4526C365"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7B22DAF2" w14:textId="77777777" w:rsidR="00A031A6" w:rsidRDefault="00916FD0">
      <w:pPr>
        <w:numPr>
          <w:ilvl w:val="0"/>
          <w:numId w:val="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1"/>
      </w:r>
      <w:r>
        <w:rPr>
          <w:rFonts w:ascii="Arial" w:eastAsia="Arial" w:hAnsi="Arial" w:cs="Arial"/>
          <w:color w:val="000000"/>
          <w:sz w:val="20"/>
          <w:szCs w:val="20"/>
        </w:rPr>
        <w:t xml:space="preserve"> of passenger cars to electric cars by 2030, saving 24 million BOE annually;</w:t>
      </w:r>
    </w:p>
    <w:p w14:paraId="03366D47" w14:textId="77777777"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5A0AFDE8" w14:textId="77777777" w:rsidR="00A031A6" w:rsidRDefault="00916FD0">
      <w:pPr>
        <w:pStyle w:val="Heading3"/>
        <w:ind w:firstLine="716"/>
      </w:pPr>
      <w:bookmarkStart w:id="121" w:name="_Toc62221444"/>
      <w:r>
        <w:t>Commercial sector energy savings: 0.3 Million BOE</w:t>
      </w:r>
      <w:bookmarkEnd w:id="121"/>
    </w:p>
    <w:p w14:paraId="72BB8133" w14:textId="77777777" w:rsidR="00A031A6" w:rsidRDefault="00916FD0">
      <w:pPr>
        <w:numPr>
          <w:ilvl w:val="0"/>
          <w:numId w:val="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14:paraId="1E588328" w14:textId="77777777" w:rsidR="00A031A6" w:rsidRDefault="00916FD0">
      <w:pPr>
        <w:spacing w:line="360" w:lineRule="auto"/>
        <w:jc w:val="both"/>
        <w:rPr>
          <w:rFonts w:ascii="Arial" w:eastAsia="Arial" w:hAnsi="Arial" w:cs="Arial"/>
          <w:sz w:val="20"/>
          <w:szCs w:val="20"/>
        </w:rPr>
        <w:sectPr w:rsidR="00A031A6">
          <w:pgSz w:w="11906" w:h="16838"/>
          <w:pgMar w:top="1440" w:right="1440" w:bottom="1440" w:left="1440" w:header="708" w:footer="708" w:gutter="0"/>
          <w:cols w:space="720"/>
        </w:sectPr>
      </w:pPr>
      <w:r>
        <w:rPr>
          <w:rFonts w:ascii="Arial" w:eastAsia="Arial" w:hAnsi="Arial" w:cs="Arial"/>
          <w:sz w:val="20"/>
          <w:szCs w:val="20"/>
        </w:rPr>
        <w:t>The energy savings from different technologies, measures and interventions is compared (Figure 22).</w:t>
      </w:r>
    </w:p>
    <w:p w14:paraId="44AC524C"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22" w:name="_243i4a2" w:colFirst="0" w:colLast="0"/>
      <w:bookmarkEnd w:id="122"/>
      <w:r>
        <w:rPr>
          <w:rFonts w:ascii="Arial" w:eastAsia="Arial" w:hAnsi="Arial" w:cs="Arial"/>
          <w:b/>
          <w:color w:val="000000"/>
          <w:sz w:val="20"/>
          <w:szCs w:val="20"/>
        </w:rPr>
        <w:lastRenderedPageBreak/>
        <w:t>Figure 22. Energy efficiency measures</w:t>
      </w:r>
    </w:p>
    <w:p w14:paraId="21DE135D" w14:textId="77777777" w:rsidR="00A031A6" w:rsidRDefault="00916FD0">
      <w:pPr>
        <w:spacing w:after="0"/>
        <w:sectPr w:rsidR="00A031A6">
          <w:type w:val="continuous"/>
          <w:pgSz w:w="11906" w:h="16838"/>
          <w:pgMar w:top="1440" w:right="1440" w:bottom="1440" w:left="1440" w:header="708" w:footer="708" w:gutter="0"/>
          <w:cols w:space="720"/>
        </w:sectPr>
      </w:pPr>
      <w:r>
        <w:rPr>
          <w:noProof/>
        </w:rPr>
        <w:drawing>
          <wp:inline distT="0" distB="0" distL="0" distR="0" wp14:anchorId="5197D009" wp14:editId="4814BA1E">
            <wp:extent cx="5854065" cy="8300852"/>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854065" cy="8300852"/>
                    </a:xfrm>
                    <a:prstGeom prst="rect">
                      <a:avLst/>
                    </a:prstGeom>
                    <a:ln/>
                  </pic:spPr>
                </pic:pic>
              </a:graphicData>
            </a:graphic>
          </wp:inline>
        </w:drawing>
      </w:r>
      <w:r>
        <w:rPr>
          <w:rFonts w:ascii="Arial" w:eastAsia="Arial" w:hAnsi="Arial" w:cs="Arial"/>
          <w:i/>
          <w:sz w:val="16"/>
          <w:szCs w:val="16"/>
        </w:rPr>
        <w:t>.</w:t>
      </w:r>
    </w:p>
    <w:p w14:paraId="5F99A3E3" w14:textId="77777777" w:rsidR="00A031A6" w:rsidRDefault="00916FD0">
      <w:pPr>
        <w:pStyle w:val="Heading2"/>
        <w:numPr>
          <w:ilvl w:val="1"/>
          <w:numId w:val="36"/>
        </w:numPr>
      </w:pPr>
      <w:bookmarkStart w:id="123" w:name="_Toc62221445"/>
      <w:r>
        <w:lastRenderedPageBreak/>
        <w:t>Marginal abatement cost curve</w:t>
      </w:r>
      <w:bookmarkEnd w:id="123"/>
    </w:p>
    <w:p w14:paraId="243111C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marginal abatement cost curve of selected mitigation technologies for Indonesia is shown in (Figure 2). This offers a strong message for policymakers to prioritize GHG mitigation technologies and measures based on their cost-benefit analysis. </w:t>
      </w:r>
    </w:p>
    <w:p w14:paraId="09840917"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24" w:name="_338fx5o" w:colFirst="0" w:colLast="0"/>
      <w:bookmarkEnd w:id="124"/>
      <w:r>
        <w:rPr>
          <w:rFonts w:ascii="Arial" w:eastAsia="Arial" w:hAnsi="Arial" w:cs="Arial"/>
          <w:b/>
          <w:color w:val="000000"/>
          <w:sz w:val="20"/>
          <w:szCs w:val="20"/>
        </w:rPr>
        <w:t>Figure 23. Marginal abatement cost curve of selected technologies</w:t>
      </w:r>
    </w:p>
    <w:p w14:paraId="295D6C42" w14:textId="77777777" w:rsidR="00A031A6" w:rsidRDefault="00916FD0">
      <w:r>
        <w:rPr>
          <w:noProof/>
        </w:rPr>
        <w:drawing>
          <wp:inline distT="0" distB="0" distL="0" distR="0" wp14:anchorId="5E34EA5C" wp14:editId="2F0FC6FB">
            <wp:extent cx="5737408" cy="340454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737408" cy="3404543"/>
                    </a:xfrm>
                    <a:prstGeom prst="rect">
                      <a:avLst/>
                    </a:prstGeom>
                    <a:ln/>
                  </pic:spPr>
                </pic:pic>
              </a:graphicData>
            </a:graphic>
          </wp:inline>
        </w:drawing>
      </w:r>
    </w:p>
    <w:p w14:paraId="000EDC9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Clearly, stopping new investments in coal-fired power plants beyond 2022 will offer the maximum potential to reduce emissions with a low cost of abatement. While such an avenue may lead to some negative impacts on the coal industry (e.g., loss of jobs), a careful transition plan with a focus on skill-building of the existing labour force to the new industry will need to be adopted to avoid such impacts. </w:t>
      </w:r>
    </w:p>
    <w:p w14:paraId="55318B0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minimum energy efficiency standard for air-conditioners is a low-hanging fruit with essentially no cost to the Government and with a potential for a very high level of abatement. This reinforces the fact that space cooling is a large area of energy consumption and thus a major source of emissions. A deeper study of the efficient cooling system in Indonesia should be undertaken. Indonesia can leverage this opportunity for further study by tapping into ESCAP’s programme on “Enhancing cooling energy efficiency in Asia-Pacific”. </w:t>
      </w:r>
    </w:p>
    <w:p w14:paraId="68AFAD9D" w14:textId="77777777" w:rsidR="00A031A6" w:rsidRDefault="00916FD0">
      <w:pPr>
        <w:rPr>
          <w:rFonts w:ascii="Arial" w:eastAsia="Arial" w:hAnsi="Arial" w:cs="Arial"/>
          <w:b/>
          <w:sz w:val="28"/>
          <w:szCs w:val="28"/>
        </w:rPr>
      </w:pPr>
      <w:bookmarkStart w:id="125" w:name="_1idq7dh" w:colFirst="0" w:colLast="0"/>
      <w:bookmarkEnd w:id="125"/>
      <w:r>
        <w:br w:type="page"/>
      </w:r>
    </w:p>
    <w:p w14:paraId="36A4433E" w14:textId="77777777" w:rsidR="00A031A6" w:rsidRDefault="00916FD0">
      <w:pPr>
        <w:pStyle w:val="Heading1"/>
        <w:numPr>
          <w:ilvl w:val="0"/>
          <w:numId w:val="36"/>
        </w:numPr>
      </w:pPr>
      <w:bookmarkStart w:id="126" w:name="_Toc62221446"/>
      <w:r>
        <w:lastRenderedPageBreak/>
        <w:t>Rebuilding better in the recovery from COVID-19 with the SDG 7 roadmap</w:t>
      </w:r>
      <w:bookmarkEnd w:id="126"/>
    </w:p>
    <w:p w14:paraId="56B467E1" w14:textId="77777777" w:rsidR="00A031A6" w:rsidRDefault="00916FD0">
      <w:pPr>
        <w:spacing w:line="360" w:lineRule="auto"/>
        <w:jc w:val="both"/>
      </w:pPr>
      <w:r>
        <w:rPr>
          <w:rFonts w:ascii="Arial" w:eastAsia="Arial" w:hAnsi="Arial" w:cs="Arial"/>
          <w:sz w:val="20"/>
          <w:szCs w:val="20"/>
        </w:rPr>
        <w:t>Energy plays a key role in rebuilding better in the recovery from the COVID-19 pandemic. Energy services are essential to supporting health-care facilities, supplying clean water for essential hygiene, enabling communication and IT, and off-grid renewables refrigeration for vaccine storage. Economic challenges resulting from the pandemic have the potential to force countries in the Asia-Pacific region to focus on short-term fixes to revive GDP growth, potentially undermining long-term sustainable development. In the energy sector, this can result in the decline of investment in clean energy development – slowing progress in renewable energy and energy efficiency, and eventually, impeding national economic growth.</w:t>
      </w:r>
      <w:r>
        <w:rPr>
          <w:highlight w:val="yellow"/>
        </w:rPr>
        <w:t xml:space="preserve"> </w:t>
      </w:r>
    </w:p>
    <w:p w14:paraId="6202121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lockdown measures to contain COVID-19 have led to economic contraction in Indonesia and a significant drop in energy consumption. Demand has fallen for electricity, gas and oil, a situation that is expected to continue for some time. Experts and policymakers are still taking stock of the impacts of COVID-19 on the energy landscape due to the contraction of the economy as well as what it will mean for the ongoing transition to sustainable energy. The ADB suggests that the impacts of COVID-19 can cause Indonesia’s economic growth to drop to 2.5 per cent in 2020, down from 5 percent in 2019, before it recovers to 5 per cent in 2021 (ADB, 2020). </w:t>
      </w:r>
    </w:p>
    <w:p w14:paraId="047C865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Thus, it has never been more important to design a well-planned energy transition pathway that enables the country’s energy sector to shield itself from the likely impacts of the COVID-19 pandemic and helps in the recovery to build  better. The SDG 7 roadmap has identified several key areas that will assist policymakers in strengthening policy measures to help recover from the COVID-19 impacts while maintaining the momentum to achieving the 2030 Agenda for Sustainable Development and the Paris Agreement. </w:t>
      </w:r>
    </w:p>
    <w:p w14:paraId="3839D7B3" w14:textId="77777777" w:rsidR="00A031A6" w:rsidRDefault="00916FD0">
      <w:pPr>
        <w:pStyle w:val="Heading2"/>
        <w:numPr>
          <w:ilvl w:val="1"/>
          <w:numId w:val="36"/>
        </w:numPr>
      </w:pPr>
      <w:bookmarkStart w:id="127" w:name="_Toc62221447"/>
      <w:r>
        <w:t>Accelerating access to clean and modern energy services</w:t>
      </w:r>
      <w:bookmarkEnd w:id="127"/>
    </w:p>
    <w:p w14:paraId="1E14B4B0" w14:textId="77777777"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Access to clean and modern energy services is essential for helping rural populations to combat challenges related to COVID-19. Relying on traditional and hazardous technologies for lighting and cooking increases their susceptibility to the effects of the virus. It is important to consider how these seismic shifts in the energy sector from COVID-19 affect the most vulnerable people. </w:t>
      </w:r>
    </w:p>
    <w:p w14:paraId="1B64826E" w14:textId="77777777"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Indonesia has about 5 million people who live without electricity and 80 million people without access to clean cooking fuel. One medium-term impact of COVID-19 could be decreased investment in energy access, as national budgets come under strain and priorities shift. Under-investment in this area would have a severe impact on the capacity of rural health centres to support front-line health workers and provide essential services to COVID-19 patients. When a vaccine does become available, it will need cold storage and refrigerated transportation over large areas. The value of decentralised technologies such as solar will therefore be enormous for large-scale immunisation efforts in rural areas of Indonesia. </w:t>
      </w:r>
    </w:p>
    <w:p w14:paraId="79EC7C2A" w14:textId="77777777"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The Government of Indonesia has already introduced some measures to combat this challenge by announcing free electricity for three months to help 24 million households in the 450VA category, and a 50 per cent discount to 7 million households in the 900VA category (</w:t>
      </w:r>
      <w:r>
        <w:rPr>
          <w:rFonts w:ascii="Arial" w:eastAsia="Arial" w:hAnsi="Arial" w:cs="Arial"/>
          <w:sz w:val="20"/>
          <w:szCs w:val="20"/>
        </w:rPr>
        <w:t>The Jakarta Post, 2020).</w:t>
      </w:r>
      <w:r>
        <w:rPr>
          <w:rFonts w:ascii="Arial" w:eastAsia="Arial" w:hAnsi="Arial" w:cs="Arial"/>
          <w:color w:val="000000"/>
          <w:sz w:val="20"/>
          <w:szCs w:val="20"/>
        </w:rPr>
        <w:t xml:space="preserve"> Access to electricity is crucial for poor and vulnerable households, and social safety net measures are a priority in the country. However, access to clean cooking technologies is a development challenge that is often forgotten. WHO has warned about the severity of health impacts arising from the exposure to traditional use of biofuel for cooking, and is encouraging policymakers to adopt measures to end this challenge. Moreover, scientists are already investigating links between air pollution and higher levels of coronavirus mortality, with preliminary results showing a probable correlation between the two.</w:t>
      </w:r>
    </w:p>
    <w:p w14:paraId="00645F08" w14:textId="77777777"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The SDG 7 roadmap has analysed and identified technical options for connecting the remaining population to cleaner fuel for cooking and has estimated the cost of the measure. The benefits resulting from this measure, in the form of reduced mortality and health impact, will exceed the needed investment of </w:t>
      </w:r>
      <w:r>
        <w:rPr>
          <w:rFonts w:ascii="Arial" w:eastAsia="Arial" w:hAnsi="Arial" w:cs="Arial"/>
          <w:sz w:val="20"/>
          <w:szCs w:val="20"/>
        </w:rPr>
        <w:t>IDR 9.77 trillion (US$ 688 million)</w:t>
      </w:r>
      <w:r>
        <w:rPr>
          <w:rFonts w:ascii="Arial" w:eastAsia="Arial" w:hAnsi="Arial" w:cs="Arial"/>
          <w:color w:val="000000"/>
          <w:sz w:val="20"/>
          <w:szCs w:val="20"/>
        </w:rPr>
        <w:t xml:space="preserve">. </w:t>
      </w:r>
    </w:p>
    <w:p w14:paraId="259E6E7B" w14:textId="77777777" w:rsidR="00A031A6" w:rsidRDefault="00916FD0">
      <w:pPr>
        <w:pStyle w:val="Heading2"/>
        <w:numPr>
          <w:ilvl w:val="1"/>
          <w:numId w:val="36"/>
        </w:numPr>
      </w:pPr>
      <w:bookmarkStart w:id="128" w:name="_Toc62221448"/>
      <w:r>
        <w:t>Reducing financial risks by reshaping the power sector</w:t>
      </w:r>
      <w:bookmarkEnd w:id="128"/>
    </w:p>
    <w:p w14:paraId="4A011D7B" w14:textId="77777777" w:rsidR="00A031A6" w:rsidRDefault="00916FD0">
      <w:pPr>
        <w:spacing w:line="360" w:lineRule="auto"/>
        <w:jc w:val="both"/>
        <w:rPr>
          <w:rFonts w:ascii="Arial" w:eastAsia="Arial" w:hAnsi="Arial" w:cs="Arial"/>
          <w:color w:val="000000"/>
          <w:sz w:val="20"/>
          <w:szCs w:val="20"/>
        </w:rPr>
      </w:pPr>
      <w:r>
        <w:rPr>
          <w:rFonts w:ascii="Arial" w:eastAsia="Arial" w:hAnsi="Arial" w:cs="Arial"/>
          <w:color w:val="000000"/>
          <w:sz w:val="20"/>
          <w:szCs w:val="20"/>
        </w:rPr>
        <w:t>Lower electricity demand, if continued over a longer period, may place fossil fuel generators in a difficult economic position of constrained output and dwindling revenues. This could lead to the early closure of some privately-owned fossil-fuel power plants, particularly those approaching end-of-life. Government power utilities may demand larger subsidies for their survival. By contrast, renewable energy power plants face relatively lower economic impacts compared to their fossil fuel counterparts. In many national power systems, renewable outputs are dispatched first to the power market, meaning they can continue to sell their energy unimpeded. As a result, many national grids have seen the penetration of renewable energy shoot up to levels not expected for the next decade – thus providing both a stress test of the system and a glimpse of a high renewables future.</w:t>
      </w:r>
    </w:p>
    <w:p w14:paraId="27D4D3C6" w14:textId="77777777" w:rsidR="00A031A6" w:rsidRDefault="00916FD0">
      <w:pPr>
        <w:spacing w:line="360" w:lineRule="auto"/>
        <w:jc w:val="both"/>
        <w:rPr>
          <w:rFonts w:ascii="Arial" w:eastAsia="Arial" w:hAnsi="Arial" w:cs="Arial"/>
          <w:sz w:val="20"/>
          <w:szCs w:val="20"/>
        </w:rPr>
      </w:pPr>
      <w:r>
        <w:rPr>
          <w:rFonts w:ascii="Arial" w:eastAsia="Arial" w:hAnsi="Arial" w:cs="Arial"/>
          <w:color w:val="000000"/>
          <w:sz w:val="20"/>
          <w:szCs w:val="20"/>
        </w:rPr>
        <w:t>The SDG 7 roadmap has identified the fact that if Indonesia continues to implement the planned coal-fired generation infrastructure in the power sector, there is a risk of a financial burden relative to alternative investments in clean power. The higher operational cost of coal-based power plants, together with the subsidy injection in the coal industry in the form of a price cap, would lead to the risk of stranded assets in the near future.</w:t>
      </w:r>
      <w:r>
        <w:rPr>
          <w:rFonts w:ascii="Arial" w:eastAsia="Arial" w:hAnsi="Arial" w:cs="Arial"/>
          <w:sz w:val="20"/>
          <w:szCs w:val="20"/>
        </w:rPr>
        <w:t xml:space="preserve"> As the bulk of the power generation infrastructure is owned by PLN, the government owned utility, the major economic liability will fall on the Government of Indonesia.</w:t>
      </w:r>
    </w:p>
    <w:p w14:paraId="2ACD0F79" w14:textId="77777777" w:rsidR="00A031A6" w:rsidRDefault="00916FD0">
      <w:pPr>
        <w:spacing w:line="360" w:lineRule="auto"/>
        <w:jc w:val="both"/>
      </w:pPr>
      <w:r>
        <w:rPr>
          <w:rFonts w:ascii="Arial" w:eastAsia="Arial" w:hAnsi="Arial" w:cs="Arial"/>
          <w:sz w:val="20"/>
          <w:szCs w:val="20"/>
        </w:rPr>
        <w:t>Furthermore, as highlighted in box 4, financial institutions have started ending their financial support in coal plant development by indicating coal-fired power plants as high-risk investments. They have decided to no longer underwrite the construction and operation of new coal-fired plants or new risks for companies that generate more than 30 per cent of their revenues from coal mining or energy production from coal.</w:t>
      </w:r>
    </w:p>
    <w:p w14:paraId="17D765C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As outlined in chapter 5, the NEXSTEP analysis identified ample economic reasons for stopping new investments in coal-fired power generation and filling the gap with more renewables, with the possibility of using natural gas as a transition fuel during the initial years. The levelled cost of electricity for </w:t>
      </w:r>
      <w:r>
        <w:rPr>
          <w:rFonts w:ascii="Arial" w:eastAsia="Arial" w:hAnsi="Arial" w:cs="Arial"/>
          <w:sz w:val="20"/>
          <w:szCs w:val="20"/>
        </w:rPr>
        <w:lastRenderedPageBreak/>
        <w:t>Indonesia (Figure 24) shows that solar PV, geothermal, hydropower etc. are significantly cheaper than the coal-based technologies.  In addition, the job creation potential of renewables per unit invested exceeds that of fossil fuel investments, which can make a critical contribution to the post-COVID recovery efforts (International Renewable Energy Agency, 2020).</w:t>
      </w:r>
    </w:p>
    <w:p w14:paraId="3D69694D" w14:textId="77777777" w:rsidR="00A031A6" w:rsidRDefault="00916FD0">
      <w:pPr>
        <w:pStyle w:val="Heading2"/>
        <w:numPr>
          <w:ilvl w:val="1"/>
          <w:numId w:val="36"/>
        </w:numPr>
      </w:pPr>
      <w:bookmarkStart w:id="129" w:name="_Toc62221449"/>
      <w:r>
        <w:t>Savings from the energy sector will help to build other sectors</w:t>
      </w:r>
      <w:bookmarkEnd w:id="129"/>
    </w:p>
    <w:p w14:paraId="0FF9842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analysis shows that there are ample opportunities in Indonesia to save energy by improving energy efficiency beyond the current practices as well as further strengthening the national target of energy-intensity reduction. As highlighted in the previous chapters of this report, several cost-effective energy efficiency measures can be implemented in the residential, transport and industrial sectors that will result in net financial gain – with annual energy savings of up to 158 million BOE, equivalent to IDR 46 trillion (US$ 3.24 billion). Savings from this improvement can help investment in other sectors, such as health, social protection and stimulus, which are critical in responding to, and recovering from the COVID-19 pandemic.</w:t>
      </w:r>
    </w:p>
    <w:p w14:paraId="72502D4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An example of low- to no-cost measures is the introduction of minimum energy efficiency standards (MEPS) in producing appliances, e.g., air conditioners, televisions and lights, all of which have no or negative costs. There is also potential for implementing energy efficiency in the transport sector, e.g., by promoting electric vehicles. This has a multitude of other related benefits (in addition to energy saving), including the reduction of expenditure on importing petroleum products, reducing local air pollution as well as the potential for Indonesia to become a manufacturing hub for electric vehicles, which will provide a large number of jobs. At the same time, other options for sustainable transport also need to be explored. These include: (a) avoiding the need to travel through integrated land-use planning and transport demand management; (b) shifting travel to the most efficient or clean mode, e.g., non-motorised or public transport; and (c) improving the environmental performance of transport through technological improvements to make vehicles more energy-efficient and less carbon-intensive. Such measures are very important to solidifying the pathway to recovery from COVID-19 and rebuilding better. </w:t>
      </w:r>
    </w:p>
    <w:p w14:paraId="08E4E2F8" w14:textId="77777777" w:rsidR="00A031A6" w:rsidRDefault="00916FD0">
      <w:pPr>
        <w:pStyle w:val="Heading2"/>
        <w:numPr>
          <w:ilvl w:val="1"/>
          <w:numId w:val="36"/>
        </w:numPr>
      </w:pPr>
      <w:bookmarkStart w:id="130" w:name="_Toc62221450"/>
      <w:r>
        <w:t>Restructuring fiscal measures to invest where it is needed the most</w:t>
      </w:r>
      <w:bookmarkEnd w:id="130"/>
    </w:p>
    <w:p w14:paraId="4FE3FB2A"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Fossil fuel subsidies are often used by Governments to increase the affordability of energy services for the poor. Unfortunately, however, this supports the rich more than its intended target group because it is the rich segment of the population who use much more energy than the poor. The Government of Indonesia has recognised this shortcoming and demonstrated its willingness to curb the overall subsidy by reducing or, in some cases, eliminating such subsidies for petroleum products. However, the annual expenditure on fossil fuel subsidies is still about IDR 100.89 trillion (US$ 7.1 billion), which is very significant and will impede the investment needed in the critical sectors, e.g., health care. </w:t>
      </w:r>
    </w:p>
    <w:p w14:paraId="78276780" w14:textId="77777777" w:rsidR="00A031A6" w:rsidRDefault="00916FD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 some cases, subsidies are poorly target and thus leads to unintended consequences. For example, in 2017, only 13 million poor and vulnerable households received subsidized 3-kg LPG cylinders compared with 19.8 million rich household beneficiaries, at an annual fiscal cost of IDR 41.2 trillion </w:t>
      </w:r>
      <w:r>
        <w:rPr>
          <w:rFonts w:ascii="Arial" w:eastAsia="Arial" w:hAnsi="Arial" w:cs="Arial"/>
          <w:color w:val="000000"/>
          <w:sz w:val="20"/>
          <w:szCs w:val="20"/>
        </w:rPr>
        <w:lastRenderedPageBreak/>
        <w:t>(US$ 2.9 billion) to the Government of Indonesia (OECD, 2019). For power generation the subsidy – in the form of a price cap on coal and natural gas, a domestic market obligation of 25 per cent and corporate tax exemptions – equals about IDR 40 trillion (US$ 2.8 billion).</w:t>
      </w:r>
    </w:p>
    <w:p w14:paraId="1ABA934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addition, the fossil fuel industry has been the major source of air pollution, causing severe health impacts, which is likely to increase the vulnerability of people to pandemics like COVID-19. Renewable energy technologies have multiple benefits – including improving health, increasing energy security by utilizing indigenous energy sources, reducing import costs of feedstocks and technologies, and enhancing natural capital. While the cost of renewables has decreased significantly and LCOEs are already cheaper than their fossil fuel counterparts, the importance of putting a price on carbon should not be ruled out. The additional funds generated with such a fiscal instrument can be used to level the playing field for renewables as well as support economic recovery in cases like COVID-19. </w:t>
      </w:r>
    </w:p>
    <w:p w14:paraId="02B02B4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SDG 7 roadmap has identified the potential for financial savings from phasing out fossil fuel subsidies to be equal to as much as IDR 1,620 trillion (US$ 114 billion) by 2030 or about IDR 162 trillion annually. This is a significant financial resource that can support investment in the recovery from COVID-19.</w:t>
      </w:r>
    </w:p>
    <w:p w14:paraId="3B786C7A" w14:textId="77777777" w:rsidR="00A031A6" w:rsidRDefault="00A031A6">
      <w:pPr>
        <w:spacing w:line="360" w:lineRule="auto"/>
        <w:jc w:val="both"/>
        <w:rPr>
          <w:rFonts w:ascii="Arial" w:eastAsia="Arial" w:hAnsi="Arial" w:cs="Arial"/>
          <w:sz w:val="20"/>
          <w:szCs w:val="20"/>
        </w:rPr>
      </w:pPr>
    </w:p>
    <w:p w14:paraId="15E65493" w14:textId="77777777" w:rsidR="00A031A6" w:rsidRDefault="00A031A6">
      <w:pPr>
        <w:spacing w:line="360" w:lineRule="auto"/>
        <w:jc w:val="both"/>
        <w:rPr>
          <w:rFonts w:ascii="Arial" w:eastAsia="Arial" w:hAnsi="Arial" w:cs="Arial"/>
          <w:sz w:val="20"/>
          <w:szCs w:val="20"/>
        </w:rPr>
      </w:pPr>
    </w:p>
    <w:p w14:paraId="40474420" w14:textId="77777777" w:rsidR="00A031A6" w:rsidRDefault="00916FD0">
      <w:pPr>
        <w:rPr>
          <w:sz w:val="28"/>
          <w:szCs w:val="28"/>
        </w:rPr>
      </w:pPr>
      <w:r>
        <w:br w:type="page"/>
      </w:r>
    </w:p>
    <w:p w14:paraId="090D465C" w14:textId="77777777" w:rsidR="00A031A6" w:rsidRDefault="00916FD0">
      <w:pPr>
        <w:pStyle w:val="Heading1"/>
        <w:numPr>
          <w:ilvl w:val="0"/>
          <w:numId w:val="36"/>
        </w:numPr>
      </w:pPr>
      <w:bookmarkStart w:id="131" w:name="_Toc62221451"/>
      <w:r>
        <w:lastRenderedPageBreak/>
        <w:t>Revisiting existing policies</w:t>
      </w:r>
      <w:bookmarkEnd w:id="131"/>
    </w:p>
    <w:p w14:paraId="5D50FCE1"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Indonesia’s current energy policies have been evaluated based on the outputs from the LEAP model, in order to highlight any inconsistencies or revisions required to achieve the SDG 7 and NDC targets by 2030. These are summarized in table 7.</w:t>
      </w:r>
    </w:p>
    <w:p w14:paraId="07022C31" w14:textId="77777777" w:rsidR="00A031A6" w:rsidRDefault="00916FD0">
      <w:pPr>
        <w:spacing w:after="0" w:line="240" w:lineRule="auto"/>
        <w:ind w:right="-1321"/>
        <w:jc w:val="center"/>
        <w:rPr>
          <w:rFonts w:ascii="Arial" w:eastAsia="Arial" w:hAnsi="Arial" w:cs="Arial"/>
          <w:b/>
          <w:sz w:val="20"/>
          <w:szCs w:val="20"/>
        </w:rPr>
        <w:sectPr w:rsidR="00A031A6">
          <w:pgSz w:w="11906" w:h="16838"/>
          <w:pgMar w:top="1440" w:right="1440" w:bottom="1440" w:left="1440" w:header="708" w:footer="708" w:gutter="0"/>
          <w:cols w:space="720"/>
        </w:sectPr>
      </w:pPr>
      <w:bookmarkStart w:id="132" w:name="_2uxtw84" w:colFirst="0" w:colLast="0"/>
      <w:bookmarkEnd w:id="132"/>
      <w:r>
        <w:rPr>
          <w:rFonts w:ascii="Arial" w:eastAsia="Arial" w:hAnsi="Arial" w:cs="Arial"/>
          <w:b/>
          <w:sz w:val="20"/>
          <w:szCs w:val="20"/>
        </w:rPr>
        <w:t xml:space="preserve">Table 7. Evaluation of Indonesia’s current energy policies  </w:t>
      </w:r>
    </w:p>
    <w:p w14:paraId="79660F37" w14:textId="77777777" w:rsidR="00A031A6" w:rsidRDefault="00A031A6">
      <w:pPr>
        <w:spacing w:after="0" w:line="240" w:lineRule="auto"/>
        <w:jc w:val="center"/>
        <w:rPr>
          <w:rFonts w:ascii="Arial" w:eastAsia="Arial" w:hAnsi="Arial" w:cs="Arial"/>
          <w:b/>
          <w:color w:val="000000"/>
          <w:sz w:val="14"/>
          <w:szCs w:val="14"/>
        </w:rPr>
        <w:sectPr w:rsidR="00A031A6">
          <w:type w:val="continuous"/>
          <w:pgSz w:w="11906" w:h="16838"/>
          <w:pgMar w:top="1440" w:right="1440" w:bottom="1440" w:left="1440" w:header="708" w:footer="708" w:gutter="0"/>
          <w:cols w:space="720"/>
        </w:sectPr>
      </w:pPr>
    </w:p>
    <w:p w14:paraId="5B62B2C1" w14:textId="77777777" w:rsidR="00A031A6" w:rsidRDefault="00A031A6">
      <w:pPr>
        <w:widowControl w:val="0"/>
        <w:pBdr>
          <w:top w:val="nil"/>
          <w:left w:val="nil"/>
          <w:bottom w:val="nil"/>
          <w:right w:val="nil"/>
          <w:between w:val="nil"/>
        </w:pBdr>
        <w:spacing w:after="0" w:line="276" w:lineRule="auto"/>
        <w:rPr>
          <w:rFonts w:ascii="Arial" w:eastAsia="Arial" w:hAnsi="Arial" w:cs="Arial"/>
          <w:b/>
          <w:color w:val="000000"/>
          <w:sz w:val="14"/>
          <w:szCs w:val="14"/>
        </w:rPr>
      </w:pPr>
    </w:p>
    <w:tbl>
      <w:tblPr>
        <w:tblStyle w:val="aa"/>
        <w:tblW w:w="10201" w:type="dxa"/>
        <w:tblLayout w:type="fixed"/>
        <w:tblLook w:val="0400" w:firstRow="0" w:lastRow="0" w:firstColumn="0" w:lastColumn="0" w:noHBand="0" w:noVBand="1"/>
      </w:tblPr>
      <w:tblGrid>
        <w:gridCol w:w="500"/>
        <w:gridCol w:w="1699"/>
        <w:gridCol w:w="1179"/>
        <w:gridCol w:w="2265"/>
        <w:gridCol w:w="250"/>
        <w:gridCol w:w="2825"/>
        <w:gridCol w:w="1483"/>
      </w:tblGrid>
      <w:tr w:rsidR="00A031A6" w14:paraId="075E3A8E" w14:textId="77777777">
        <w:trPr>
          <w:trHeight w:val="300"/>
        </w:trPr>
        <w:tc>
          <w:tcPr>
            <w:tcW w:w="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08707" w14:textId="77777777" w:rsidR="00A031A6" w:rsidRDefault="00916FD0">
            <w:pPr>
              <w:rPr>
                <w:rFonts w:ascii="Arial" w:eastAsia="Arial" w:hAnsi="Arial" w:cs="Arial"/>
                <w:b/>
                <w:sz w:val="14"/>
                <w:szCs w:val="14"/>
              </w:rPr>
            </w:pPr>
            <w:r>
              <w:rPr>
                <w:rFonts w:ascii="Arial" w:eastAsia="Arial" w:hAnsi="Arial" w:cs="Arial"/>
                <w:b/>
                <w:sz w:val="14"/>
                <w:szCs w:val="14"/>
              </w:rPr>
              <w:t>No.</w:t>
            </w:r>
          </w:p>
        </w:tc>
        <w:tc>
          <w:tcPr>
            <w:tcW w:w="1701" w:type="dxa"/>
            <w:tcBorders>
              <w:top w:val="single" w:sz="4" w:space="0" w:color="000000"/>
              <w:left w:val="nil"/>
              <w:bottom w:val="single" w:sz="4" w:space="0" w:color="000000"/>
              <w:right w:val="single" w:sz="4" w:space="0" w:color="000000"/>
            </w:tcBorders>
            <w:shd w:val="clear" w:color="auto" w:fill="FFFFFF"/>
            <w:vAlign w:val="center"/>
          </w:tcPr>
          <w:p w14:paraId="1BF90D7C" w14:textId="77777777" w:rsidR="00A031A6" w:rsidRDefault="00916FD0">
            <w:pPr>
              <w:rPr>
                <w:rFonts w:ascii="Arial" w:eastAsia="Arial" w:hAnsi="Arial" w:cs="Arial"/>
                <w:b/>
                <w:sz w:val="14"/>
                <w:szCs w:val="14"/>
              </w:rPr>
            </w:pPr>
            <w:r>
              <w:rPr>
                <w:rFonts w:ascii="Arial" w:eastAsia="Arial" w:hAnsi="Arial" w:cs="Arial"/>
                <w:b/>
                <w:sz w:val="14"/>
                <w:szCs w:val="14"/>
              </w:rPr>
              <w:t>Policy</w:t>
            </w:r>
          </w:p>
        </w:tc>
        <w:tc>
          <w:tcPr>
            <w:tcW w:w="1181" w:type="dxa"/>
            <w:tcBorders>
              <w:top w:val="single" w:sz="4" w:space="0" w:color="000000"/>
              <w:left w:val="nil"/>
              <w:bottom w:val="single" w:sz="4" w:space="0" w:color="000000"/>
              <w:right w:val="single" w:sz="4" w:space="0" w:color="000000"/>
            </w:tcBorders>
            <w:shd w:val="clear" w:color="auto" w:fill="FFFFFF"/>
            <w:vAlign w:val="center"/>
          </w:tcPr>
          <w:p w14:paraId="3C86FDED" w14:textId="77777777" w:rsidR="00A031A6" w:rsidRDefault="00916FD0">
            <w:pPr>
              <w:jc w:val="center"/>
              <w:rPr>
                <w:rFonts w:ascii="Arial" w:eastAsia="Arial" w:hAnsi="Arial" w:cs="Arial"/>
                <w:b/>
                <w:sz w:val="14"/>
                <w:szCs w:val="14"/>
              </w:rPr>
            </w:pPr>
            <w:r>
              <w:rPr>
                <w:rFonts w:ascii="Arial" w:eastAsia="Arial" w:hAnsi="Arial" w:cs="Arial"/>
                <w:b/>
                <w:sz w:val="14"/>
                <w:szCs w:val="14"/>
              </w:rPr>
              <w:t>Policy type</w:t>
            </w:r>
          </w:p>
        </w:tc>
        <w:tc>
          <w:tcPr>
            <w:tcW w:w="2268" w:type="dxa"/>
            <w:tcBorders>
              <w:top w:val="single" w:sz="4" w:space="0" w:color="000000"/>
              <w:left w:val="nil"/>
              <w:bottom w:val="single" w:sz="4" w:space="0" w:color="000000"/>
              <w:right w:val="single" w:sz="4" w:space="0" w:color="000000"/>
            </w:tcBorders>
            <w:shd w:val="clear" w:color="auto" w:fill="FFFFFF"/>
            <w:vAlign w:val="center"/>
          </w:tcPr>
          <w:p w14:paraId="21C84990" w14:textId="77777777" w:rsidR="00A031A6" w:rsidRDefault="00916FD0">
            <w:pPr>
              <w:jc w:val="center"/>
              <w:rPr>
                <w:rFonts w:ascii="Arial" w:eastAsia="Arial" w:hAnsi="Arial" w:cs="Arial"/>
                <w:b/>
                <w:sz w:val="14"/>
                <w:szCs w:val="14"/>
              </w:rPr>
            </w:pPr>
            <w:r>
              <w:rPr>
                <w:rFonts w:ascii="Arial" w:eastAsia="Arial" w:hAnsi="Arial" w:cs="Arial"/>
                <w:b/>
                <w:sz w:val="14"/>
                <w:szCs w:val="14"/>
              </w:rPr>
              <w:t>Concerning</w:t>
            </w:r>
          </w:p>
        </w:tc>
        <w:tc>
          <w:tcPr>
            <w:tcW w:w="236" w:type="dxa"/>
            <w:tcBorders>
              <w:top w:val="single" w:sz="4" w:space="0" w:color="000000"/>
              <w:left w:val="nil"/>
              <w:bottom w:val="single" w:sz="4" w:space="0" w:color="000000"/>
              <w:right w:val="nil"/>
            </w:tcBorders>
            <w:shd w:val="clear" w:color="auto" w:fill="FFFFFF"/>
          </w:tcPr>
          <w:p w14:paraId="1BBAD256" w14:textId="77777777" w:rsidR="00A031A6" w:rsidRDefault="00A031A6">
            <w:pPr>
              <w:jc w:val="center"/>
              <w:rPr>
                <w:rFonts w:ascii="Arial" w:eastAsia="Arial" w:hAnsi="Arial" w:cs="Arial"/>
                <w:b/>
                <w:sz w:val="14"/>
                <w:szCs w:val="14"/>
              </w:rPr>
            </w:pPr>
          </w:p>
        </w:tc>
        <w:tc>
          <w:tcPr>
            <w:tcW w:w="2829" w:type="dxa"/>
            <w:tcBorders>
              <w:top w:val="single" w:sz="4" w:space="0" w:color="000000"/>
              <w:left w:val="nil"/>
              <w:bottom w:val="single" w:sz="4" w:space="0" w:color="000000"/>
              <w:right w:val="single" w:sz="4" w:space="0" w:color="000000"/>
            </w:tcBorders>
            <w:shd w:val="clear" w:color="auto" w:fill="FFFFFF"/>
            <w:vAlign w:val="center"/>
          </w:tcPr>
          <w:p w14:paraId="6923E97B" w14:textId="77777777" w:rsidR="00A031A6" w:rsidRDefault="00916FD0">
            <w:pPr>
              <w:jc w:val="center"/>
              <w:rPr>
                <w:rFonts w:ascii="Arial" w:eastAsia="Arial" w:hAnsi="Arial" w:cs="Arial"/>
                <w:b/>
                <w:sz w:val="14"/>
                <w:szCs w:val="14"/>
              </w:rPr>
            </w:pPr>
            <w:r>
              <w:rPr>
                <w:rFonts w:ascii="Arial" w:eastAsia="Arial" w:hAnsi="Arial" w:cs="Arial"/>
                <w:b/>
                <w:sz w:val="14"/>
                <w:szCs w:val="14"/>
              </w:rPr>
              <w:t>Policy evaluation</w:t>
            </w:r>
          </w:p>
        </w:tc>
        <w:tc>
          <w:tcPr>
            <w:tcW w:w="1485" w:type="dxa"/>
            <w:tcBorders>
              <w:top w:val="single" w:sz="4" w:space="0" w:color="000000"/>
              <w:left w:val="nil"/>
              <w:bottom w:val="single" w:sz="4" w:space="0" w:color="000000"/>
              <w:right w:val="single" w:sz="4" w:space="0" w:color="000000"/>
            </w:tcBorders>
            <w:shd w:val="clear" w:color="auto" w:fill="FFFFFF"/>
            <w:vAlign w:val="center"/>
          </w:tcPr>
          <w:p w14:paraId="21C11563" w14:textId="77777777" w:rsidR="00A031A6" w:rsidRDefault="00916FD0">
            <w:pPr>
              <w:jc w:val="center"/>
              <w:rPr>
                <w:rFonts w:ascii="Arial" w:eastAsia="Arial" w:hAnsi="Arial" w:cs="Arial"/>
                <w:b/>
                <w:sz w:val="14"/>
                <w:szCs w:val="14"/>
              </w:rPr>
            </w:pPr>
            <w:r>
              <w:rPr>
                <w:rFonts w:ascii="Arial" w:eastAsia="Arial" w:hAnsi="Arial" w:cs="Arial"/>
                <w:b/>
                <w:sz w:val="14"/>
                <w:szCs w:val="14"/>
              </w:rPr>
              <w:t>NEXSTEP analysis</w:t>
            </w:r>
          </w:p>
        </w:tc>
      </w:tr>
      <w:tr w:rsidR="00A031A6" w14:paraId="313D53E6" w14:textId="77777777">
        <w:trPr>
          <w:trHeight w:val="1652"/>
        </w:trPr>
        <w:tc>
          <w:tcPr>
            <w:tcW w:w="501" w:type="dxa"/>
            <w:tcBorders>
              <w:top w:val="nil"/>
              <w:left w:val="single" w:sz="4" w:space="0" w:color="000000"/>
              <w:bottom w:val="single" w:sz="4" w:space="0" w:color="000000"/>
              <w:right w:val="single" w:sz="4" w:space="0" w:color="000000"/>
            </w:tcBorders>
          </w:tcPr>
          <w:p w14:paraId="44F906EB"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1</w:t>
            </w:r>
          </w:p>
        </w:tc>
        <w:tc>
          <w:tcPr>
            <w:tcW w:w="1701" w:type="dxa"/>
            <w:tcBorders>
              <w:top w:val="nil"/>
              <w:left w:val="nil"/>
              <w:bottom w:val="single" w:sz="4" w:space="0" w:color="000000"/>
              <w:right w:val="single" w:sz="4" w:space="0" w:color="000000"/>
            </w:tcBorders>
          </w:tcPr>
          <w:p w14:paraId="208B3B17"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National Energy General Plan (RUEN) (Presidential Regulation No.22, 2017)</w:t>
            </w:r>
          </w:p>
        </w:tc>
        <w:tc>
          <w:tcPr>
            <w:tcW w:w="1181" w:type="dxa"/>
            <w:tcBorders>
              <w:top w:val="nil"/>
              <w:left w:val="nil"/>
              <w:bottom w:val="single" w:sz="4" w:space="0" w:color="000000"/>
              <w:right w:val="single" w:sz="4" w:space="0" w:color="000000"/>
            </w:tcBorders>
          </w:tcPr>
          <w:p w14:paraId="1866B368"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w:t>
            </w:r>
          </w:p>
        </w:tc>
        <w:tc>
          <w:tcPr>
            <w:tcW w:w="2268" w:type="dxa"/>
            <w:tcBorders>
              <w:top w:val="nil"/>
              <w:left w:val="nil"/>
              <w:bottom w:val="single" w:sz="4" w:space="0" w:color="000000"/>
              <w:right w:val="single" w:sz="4" w:space="0" w:color="000000"/>
            </w:tcBorders>
          </w:tcPr>
          <w:p w14:paraId="36FD4C49"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RUEN mandates a reduction in energy intensity by 1% each year during 2015-2025 and a reduction in final energy consumption by 17% and 39%, respectively, in 2025 and 2050.</w:t>
            </w:r>
          </w:p>
        </w:tc>
        <w:tc>
          <w:tcPr>
            <w:tcW w:w="236" w:type="dxa"/>
            <w:tcBorders>
              <w:top w:val="nil"/>
              <w:left w:val="nil"/>
              <w:bottom w:val="single" w:sz="4" w:space="0" w:color="000000"/>
              <w:right w:val="nil"/>
            </w:tcBorders>
          </w:tcPr>
          <w:p w14:paraId="2E646C81"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5DA35E7D" w14:textId="77777777" w:rsidR="00A031A6" w:rsidRDefault="00916FD0">
            <w:pPr>
              <w:ind w:left="-63"/>
              <w:rPr>
                <w:rFonts w:ascii="Arial" w:eastAsia="Arial" w:hAnsi="Arial" w:cs="Arial"/>
                <w:b/>
                <w:color w:val="000000"/>
                <w:sz w:val="14"/>
                <w:szCs w:val="14"/>
              </w:rPr>
            </w:pPr>
            <w:r>
              <w:rPr>
                <w:rFonts w:ascii="Arial" w:eastAsia="Arial" w:hAnsi="Arial" w:cs="Arial"/>
                <w:b/>
                <w:color w:val="000000"/>
                <w:sz w:val="14"/>
                <w:szCs w:val="14"/>
              </w:rPr>
              <w:t>Strategy.</w:t>
            </w:r>
          </w:p>
          <w:p w14:paraId="5F6CC224" w14:textId="77777777" w:rsidR="00A031A6" w:rsidRDefault="00916FD0">
            <w:pPr>
              <w:ind w:left="-63"/>
              <w:rPr>
                <w:rFonts w:ascii="Arial" w:eastAsia="Arial" w:hAnsi="Arial" w:cs="Arial"/>
                <w:color w:val="000000"/>
                <w:sz w:val="14"/>
                <w:szCs w:val="14"/>
              </w:rPr>
            </w:pPr>
            <w:r>
              <w:rPr>
                <w:rFonts w:ascii="Arial" w:eastAsia="Arial" w:hAnsi="Arial" w:cs="Arial"/>
                <w:color w:val="000000"/>
                <w:sz w:val="14"/>
                <w:szCs w:val="14"/>
              </w:rPr>
              <w:t xml:space="preserve">RUEN outlines the targets to be achieved in 2025 and 2050. However, this policy fails to outline the path required to achieve the SDG 7 targets. </w:t>
            </w:r>
          </w:p>
          <w:p w14:paraId="6A60CC06" w14:textId="77777777" w:rsidR="00A031A6" w:rsidRDefault="00A031A6">
            <w:pPr>
              <w:rPr>
                <w:rFonts w:ascii="Arial" w:eastAsia="Arial" w:hAnsi="Arial" w:cs="Arial"/>
                <w:color w:val="000000"/>
                <w:sz w:val="14"/>
                <w:szCs w:val="14"/>
              </w:rPr>
            </w:pPr>
          </w:p>
        </w:tc>
        <w:tc>
          <w:tcPr>
            <w:tcW w:w="1485" w:type="dxa"/>
            <w:tcBorders>
              <w:top w:val="nil"/>
              <w:left w:val="nil"/>
              <w:bottom w:val="single" w:sz="4" w:space="0" w:color="000000"/>
              <w:right w:val="single" w:sz="4" w:space="0" w:color="000000"/>
            </w:tcBorders>
          </w:tcPr>
          <w:p w14:paraId="1E7FE011"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Strategy.</w:t>
            </w:r>
          </w:p>
          <w:p w14:paraId="2AC3B682" w14:textId="77777777" w:rsidR="00A031A6" w:rsidRDefault="00916FD0">
            <w:pPr>
              <w:ind w:right="73"/>
              <w:rPr>
                <w:rFonts w:ascii="Arial" w:eastAsia="Arial" w:hAnsi="Arial" w:cs="Arial"/>
                <w:color w:val="000000"/>
                <w:sz w:val="14"/>
                <w:szCs w:val="14"/>
              </w:rPr>
            </w:pPr>
            <w:r>
              <w:rPr>
                <w:rFonts w:ascii="Arial" w:eastAsia="Arial" w:hAnsi="Arial" w:cs="Arial"/>
                <w:color w:val="000000"/>
                <w:sz w:val="14"/>
                <w:szCs w:val="14"/>
              </w:rPr>
              <w:t>The roadmap document outlines key shortcomings of the RUEN, mainly renewable energy share in TPES, energy efficiency targets and access to clean cooking.</w:t>
            </w:r>
          </w:p>
        </w:tc>
      </w:tr>
      <w:tr w:rsidR="00A031A6" w14:paraId="26E350E7" w14:textId="77777777">
        <w:trPr>
          <w:trHeight w:val="3675"/>
        </w:trPr>
        <w:tc>
          <w:tcPr>
            <w:tcW w:w="501" w:type="dxa"/>
            <w:tcBorders>
              <w:top w:val="nil"/>
              <w:left w:val="single" w:sz="4" w:space="0" w:color="000000"/>
              <w:bottom w:val="single" w:sz="4" w:space="0" w:color="000000"/>
              <w:right w:val="single" w:sz="4" w:space="0" w:color="000000"/>
            </w:tcBorders>
          </w:tcPr>
          <w:p w14:paraId="18C85AA6"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2</w:t>
            </w:r>
          </w:p>
        </w:tc>
        <w:tc>
          <w:tcPr>
            <w:tcW w:w="1701" w:type="dxa"/>
            <w:tcBorders>
              <w:top w:val="nil"/>
              <w:left w:val="nil"/>
              <w:bottom w:val="single" w:sz="4" w:space="0" w:color="000000"/>
              <w:right w:val="single" w:sz="4" w:space="0" w:color="000000"/>
            </w:tcBorders>
          </w:tcPr>
          <w:p w14:paraId="594A5FB4"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National Master Plan for Energy Conservation (RIKEN)</w:t>
            </w:r>
          </w:p>
        </w:tc>
        <w:tc>
          <w:tcPr>
            <w:tcW w:w="1181" w:type="dxa"/>
            <w:tcBorders>
              <w:top w:val="nil"/>
              <w:left w:val="nil"/>
              <w:bottom w:val="single" w:sz="4" w:space="0" w:color="000000"/>
              <w:right w:val="single" w:sz="4" w:space="0" w:color="000000"/>
            </w:tcBorders>
          </w:tcPr>
          <w:p w14:paraId="15466E96"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Codes and standards. Other regulatory instruments</w:t>
            </w:r>
          </w:p>
        </w:tc>
        <w:tc>
          <w:tcPr>
            <w:tcW w:w="2268" w:type="dxa"/>
            <w:tcBorders>
              <w:top w:val="nil"/>
              <w:left w:val="nil"/>
              <w:bottom w:val="single" w:sz="4" w:space="0" w:color="000000"/>
              <w:right w:val="single" w:sz="4" w:space="0" w:color="000000"/>
            </w:tcBorders>
          </w:tcPr>
          <w:p w14:paraId="4A0D1D13"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RIKEN sets a goal of decreasing energy intensity by 1% annually until 2025. In order to reach this goal, energy savings potentials have been identified as follows: industry 15-30%; commercial buildings 25%; and households 10-30%. The plan includes fiscal incentives (tax deductions and soft loans) together with other instruments such as training and educational programmes as well as energy audits. Indonesia aims to reach energy savings of 17% in the final consumption of the following sectors by 2025: industrial sector, 17%; transport sector, 20%; commercial sector and households, 15%. </w:t>
            </w:r>
            <w:r>
              <w:rPr>
                <w:rFonts w:ascii="Arial" w:eastAsia="Arial" w:hAnsi="Arial" w:cs="Arial"/>
                <w:color w:val="000000"/>
                <w:sz w:val="14"/>
                <w:szCs w:val="14"/>
              </w:rPr>
              <w:br/>
              <w:t>Furthermore, Indonesia is targeting a 1% energy savings in the transformation sector by 2025.</w:t>
            </w:r>
          </w:p>
          <w:p w14:paraId="74213EA9" w14:textId="77777777" w:rsidR="00A031A6" w:rsidRDefault="00A031A6">
            <w:pPr>
              <w:rPr>
                <w:rFonts w:ascii="Arial" w:eastAsia="Arial" w:hAnsi="Arial" w:cs="Arial"/>
                <w:color w:val="000000"/>
                <w:sz w:val="14"/>
                <w:szCs w:val="14"/>
              </w:rPr>
            </w:pPr>
          </w:p>
        </w:tc>
        <w:tc>
          <w:tcPr>
            <w:tcW w:w="236" w:type="dxa"/>
            <w:tcBorders>
              <w:top w:val="nil"/>
              <w:left w:val="nil"/>
              <w:bottom w:val="single" w:sz="4" w:space="0" w:color="000000"/>
              <w:right w:val="nil"/>
            </w:tcBorders>
          </w:tcPr>
          <w:p w14:paraId="3A6DD4A7"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2283DCDE"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14:paraId="37BCEE17"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energy intensity improvement of 1% annually in the total final energy consumption (TFEC) is not in line with the SDG 7 target, because globally this is measured in terms of total primary energy supply (TPES).</w:t>
            </w:r>
          </w:p>
        </w:tc>
        <w:tc>
          <w:tcPr>
            <w:tcW w:w="1485" w:type="dxa"/>
            <w:tcBorders>
              <w:top w:val="nil"/>
              <w:left w:val="nil"/>
              <w:bottom w:val="single" w:sz="4" w:space="0" w:color="000000"/>
              <w:right w:val="single" w:sz="4" w:space="0" w:color="000000"/>
            </w:tcBorders>
          </w:tcPr>
          <w:p w14:paraId="6606C018"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14:paraId="2C044D75"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NEXSTEP analysis suggests a revised target of 1.53% improvement in primary energy intensity, to achieve SDG 7.3 Energy Efficiency in Indonesia by 2030. It also presents a breakdown of technologies and measures to achieve the target. </w:t>
            </w:r>
          </w:p>
          <w:p w14:paraId="3C1C5B32" w14:textId="77777777" w:rsidR="00A031A6" w:rsidRDefault="00A031A6">
            <w:pPr>
              <w:jc w:val="center"/>
              <w:rPr>
                <w:rFonts w:ascii="Arial" w:eastAsia="Arial" w:hAnsi="Arial" w:cs="Arial"/>
                <w:color w:val="000000"/>
                <w:sz w:val="14"/>
                <w:szCs w:val="14"/>
              </w:rPr>
            </w:pPr>
          </w:p>
        </w:tc>
      </w:tr>
      <w:tr w:rsidR="00A031A6" w14:paraId="7CC9585F" w14:textId="77777777">
        <w:trPr>
          <w:trHeight w:val="3360"/>
        </w:trPr>
        <w:tc>
          <w:tcPr>
            <w:tcW w:w="501" w:type="dxa"/>
            <w:tcBorders>
              <w:top w:val="nil"/>
              <w:left w:val="single" w:sz="4" w:space="0" w:color="000000"/>
              <w:bottom w:val="single" w:sz="4" w:space="0" w:color="000000"/>
              <w:right w:val="single" w:sz="4" w:space="0" w:color="000000"/>
            </w:tcBorders>
          </w:tcPr>
          <w:p w14:paraId="79A3692F"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3</w:t>
            </w:r>
          </w:p>
        </w:tc>
        <w:tc>
          <w:tcPr>
            <w:tcW w:w="1701" w:type="dxa"/>
            <w:tcBorders>
              <w:top w:val="nil"/>
              <w:left w:val="nil"/>
              <w:bottom w:val="single" w:sz="4" w:space="0" w:color="000000"/>
              <w:right w:val="single" w:sz="4" w:space="0" w:color="000000"/>
            </w:tcBorders>
          </w:tcPr>
          <w:p w14:paraId="0D0723EB"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National Action Plan for Reducing Greenhouse Gas Emissions (RAN-GRK) and First Nationally Determined Contribution (NDC), Republic of Indonesia</w:t>
            </w:r>
          </w:p>
        </w:tc>
        <w:tc>
          <w:tcPr>
            <w:tcW w:w="1181" w:type="dxa"/>
            <w:tcBorders>
              <w:top w:val="nil"/>
              <w:left w:val="nil"/>
              <w:bottom w:val="single" w:sz="4" w:space="0" w:color="000000"/>
              <w:right w:val="single" w:sz="4" w:space="0" w:color="000000"/>
            </w:tcBorders>
          </w:tcPr>
          <w:p w14:paraId="65F99AF4"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w:t>
            </w:r>
          </w:p>
        </w:tc>
        <w:tc>
          <w:tcPr>
            <w:tcW w:w="2268" w:type="dxa"/>
            <w:tcBorders>
              <w:top w:val="nil"/>
              <w:left w:val="nil"/>
              <w:bottom w:val="single" w:sz="4" w:space="0" w:color="000000"/>
              <w:right w:val="single" w:sz="4" w:space="0" w:color="000000"/>
            </w:tcBorders>
          </w:tcPr>
          <w:p w14:paraId="33BA5F67"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RAN-GRK is a follow-up to Indonesia’s commitment to reduce GHG emission by 26% in 2020 from the BAU level through its own efforts to reduce 29% (unconditional) and reaching 41% (conditional) reduction with international support.</w:t>
            </w:r>
            <w:r>
              <w:rPr>
                <w:rFonts w:ascii="Arial" w:eastAsia="Arial" w:hAnsi="Arial" w:cs="Arial"/>
                <w:color w:val="000000"/>
                <w:sz w:val="14"/>
                <w:szCs w:val="14"/>
              </w:rPr>
              <w:br/>
            </w:r>
            <w:r>
              <w:rPr>
                <w:rFonts w:ascii="Arial" w:eastAsia="Arial" w:hAnsi="Arial" w:cs="Arial"/>
                <w:color w:val="000000"/>
                <w:sz w:val="14"/>
                <w:szCs w:val="14"/>
              </w:rPr>
              <w:br/>
              <w:t xml:space="preserve">RAN-GRK was developed to provide a policy framework for the central Government, local governments, the private sector and other key stakeholders in implementing actions related directly and indirectly to GHG emission reduction efforts. It proposes mitigation actions in five priority sectors (agriculture, forestry and peatland, energy and transport, industry, waste management). </w:t>
            </w:r>
          </w:p>
        </w:tc>
        <w:tc>
          <w:tcPr>
            <w:tcW w:w="236" w:type="dxa"/>
            <w:tcBorders>
              <w:top w:val="nil"/>
              <w:left w:val="nil"/>
              <w:bottom w:val="single" w:sz="4" w:space="0" w:color="000000"/>
              <w:right w:val="nil"/>
            </w:tcBorders>
          </w:tcPr>
          <w:p w14:paraId="0FEAC751"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3CED1A2F"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NDC targets.</w:t>
            </w:r>
          </w:p>
          <w:p w14:paraId="6F1259E8"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Indonesia’s NDC target for the energy sector is 11% (unconditional) and 14% (conditional, based on international support), compared with the BAU level.</w:t>
            </w:r>
          </w:p>
        </w:tc>
        <w:tc>
          <w:tcPr>
            <w:tcW w:w="1485" w:type="dxa"/>
            <w:tcBorders>
              <w:top w:val="nil"/>
              <w:left w:val="nil"/>
              <w:bottom w:val="single" w:sz="4" w:space="0" w:color="000000"/>
              <w:right w:val="single" w:sz="4" w:space="0" w:color="000000"/>
            </w:tcBorders>
          </w:tcPr>
          <w:p w14:paraId="2E101B82"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NDC targets.</w:t>
            </w:r>
          </w:p>
          <w:p w14:paraId="3AFC186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Indonesia’s NDC target is achievable, and it is possible to enhance the targets by raising ambitions.</w:t>
            </w:r>
          </w:p>
          <w:p w14:paraId="74400605" w14:textId="77777777" w:rsidR="00A031A6" w:rsidRDefault="00A031A6">
            <w:pPr>
              <w:rPr>
                <w:rFonts w:ascii="Arial" w:eastAsia="Arial" w:hAnsi="Arial" w:cs="Arial"/>
                <w:color w:val="000000"/>
                <w:sz w:val="14"/>
                <w:szCs w:val="14"/>
              </w:rPr>
            </w:pPr>
          </w:p>
          <w:p w14:paraId="5733E447"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An enhanced NDC target of 18% reduction in the energy sector would bring the total contribution to 45% reduction in GHG emissions and align the NDC targets with the 1.5-degree pathway by 2030.</w:t>
            </w:r>
          </w:p>
        </w:tc>
      </w:tr>
      <w:tr w:rsidR="00A031A6" w14:paraId="7F617D36" w14:textId="77777777">
        <w:trPr>
          <w:trHeight w:val="2802"/>
        </w:trPr>
        <w:tc>
          <w:tcPr>
            <w:tcW w:w="501" w:type="dxa"/>
            <w:tcBorders>
              <w:top w:val="nil"/>
              <w:left w:val="single" w:sz="4" w:space="0" w:color="000000"/>
              <w:bottom w:val="single" w:sz="4" w:space="0" w:color="000000"/>
              <w:right w:val="single" w:sz="4" w:space="0" w:color="000000"/>
            </w:tcBorders>
          </w:tcPr>
          <w:p w14:paraId="535039E2"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lastRenderedPageBreak/>
              <w:t>4</w:t>
            </w:r>
          </w:p>
        </w:tc>
        <w:tc>
          <w:tcPr>
            <w:tcW w:w="1701" w:type="dxa"/>
            <w:tcBorders>
              <w:top w:val="nil"/>
              <w:left w:val="nil"/>
              <w:bottom w:val="single" w:sz="4" w:space="0" w:color="000000"/>
              <w:right w:val="single" w:sz="4" w:space="0" w:color="000000"/>
            </w:tcBorders>
          </w:tcPr>
          <w:p w14:paraId="47C9793B"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Energy Law No. 30/2007 (EL7)</w:t>
            </w:r>
          </w:p>
        </w:tc>
        <w:tc>
          <w:tcPr>
            <w:tcW w:w="1181" w:type="dxa"/>
            <w:tcBorders>
              <w:top w:val="nil"/>
              <w:left w:val="nil"/>
              <w:bottom w:val="single" w:sz="4" w:space="0" w:color="000000"/>
              <w:right w:val="single" w:sz="4" w:space="0" w:color="000000"/>
            </w:tcBorders>
          </w:tcPr>
          <w:p w14:paraId="173C9604"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w:t>
            </w:r>
          </w:p>
        </w:tc>
        <w:tc>
          <w:tcPr>
            <w:tcW w:w="2268" w:type="dxa"/>
            <w:tcBorders>
              <w:top w:val="nil"/>
              <w:left w:val="nil"/>
              <w:bottom w:val="single" w:sz="4" w:space="0" w:color="000000"/>
              <w:right w:val="single" w:sz="4" w:space="0" w:color="000000"/>
            </w:tcBorders>
          </w:tcPr>
          <w:p w14:paraId="0A53D92B"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Law recognizes energy security as a critical national issue and requires that more attention should be given to new and renewable energy development, and that incentives should be developed for energy providers to do this. The Law also requires energy to be provided for underdeveloped, remote and rural areas by exploiting local energy potential, and renewable energy. Throughout these developments, there should be prioritization of environmentally-friendly technologies.</w:t>
            </w:r>
          </w:p>
        </w:tc>
        <w:tc>
          <w:tcPr>
            <w:tcW w:w="236" w:type="dxa"/>
            <w:tcBorders>
              <w:top w:val="nil"/>
              <w:left w:val="nil"/>
              <w:bottom w:val="single" w:sz="4" w:space="0" w:color="000000"/>
              <w:right w:val="nil"/>
            </w:tcBorders>
          </w:tcPr>
          <w:p w14:paraId="4DBF058F"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34452EF8"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security</w:t>
            </w:r>
          </w:p>
          <w:p w14:paraId="5D27A8C6"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EL7 prioritizes energy security by reducing the dependence on import of oil products. The use of biofuels is promoted to reduce imports, emissions in the transport sector and support local industries. Although it is a well-intentioned policy, the environmental concerns of biofuels are a major drawback together with financial viability during low oil prices.</w:t>
            </w:r>
          </w:p>
          <w:p w14:paraId="5582951C" w14:textId="77777777" w:rsidR="00A031A6" w:rsidRDefault="00A031A6">
            <w:pPr>
              <w:rPr>
                <w:rFonts w:ascii="Arial" w:eastAsia="Arial" w:hAnsi="Arial" w:cs="Arial"/>
                <w:color w:val="000000"/>
                <w:sz w:val="14"/>
                <w:szCs w:val="14"/>
              </w:rPr>
            </w:pPr>
          </w:p>
        </w:tc>
        <w:tc>
          <w:tcPr>
            <w:tcW w:w="1485" w:type="dxa"/>
            <w:tcBorders>
              <w:top w:val="nil"/>
              <w:left w:val="nil"/>
              <w:bottom w:val="single" w:sz="4" w:space="0" w:color="000000"/>
              <w:right w:val="single" w:sz="4" w:space="0" w:color="000000"/>
            </w:tcBorders>
          </w:tcPr>
          <w:p w14:paraId="0D9F4391"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security</w:t>
            </w:r>
          </w:p>
          <w:p w14:paraId="31EFD6D6"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NEXSTEP analysis suggest that electrification of the transport sector utilizing renewable energy resources such as geothermal, hydropower, solar, wind and biomass in Indonesia is a long-term solution to reduce imports, lower emissions and create new jobs opportunities.</w:t>
            </w:r>
          </w:p>
          <w:p w14:paraId="59119C51" w14:textId="77777777" w:rsidR="00A031A6" w:rsidRDefault="00A031A6">
            <w:pPr>
              <w:rPr>
                <w:rFonts w:ascii="Arial" w:eastAsia="Arial" w:hAnsi="Arial" w:cs="Arial"/>
                <w:color w:val="000000"/>
                <w:sz w:val="14"/>
                <w:szCs w:val="14"/>
              </w:rPr>
            </w:pPr>
          </w:p>
          <w:p w14:paraId="13A6C1B2" w14:textId="77777777" w:rsidR="00A031A6" w:rsidRDefault="00A031A6">
            <w:pPr>
              <w:rPr>
                <w:rFonts w:ascii="Arial" w:eastAsia="Arial" w:hAnsi="Arial" w:cs="Arial"/>
                <w:color w:val="000000"/>
                <w:sz w:val="14"/>
                <w:szCs w:val="14"/>
              </w:rPr>
            </w:pPr>
          </w:p>
        </w:tc>
      </w:tr>
      <w:tr w:rsidR="00A031A6" w14:paraId="3D930256" w14:textId="77777777">
        <w:trPr>
          <w:trHeight w:val="2377"/>
        </w:trPr>
        <w:tc>
          <w:tcPr>
            <w:tcW w:w="501" w:type="dxa"/>
            <w:tcBorders>
              <w:top w:val="nil"/>
              <w:left w:val="single" w:sz="4" w:space="0" w:color="000000"/>
              <w:bottom w:val="single" w:sz="4" w:space="0" w:color="000000"/>
              <w:right w:val="single" w:sz="4" w:space="0" w:color="000000"/>
            </w:tcBorders>
          </w:tcPr>
          <w:p w14:paraId="5A0D7F9F"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5</w:t>
            </w:r>
          </w:p>
        </w:tc>
        <w:tc>
          <w:tcPr>
            <w:tcW w:w="1701" w:type="dxa"/>
            <w:tcBorders>
              <w:top w:val="nil"/>
              <w:left w:val="nil"/>
              <w:bottom w:val="single" w:sz="4" w:space="0" w:color="000000"/>
              <w:right w:val="single" w:sz="4" w:space="0" w:color="000000"/>
            </w:tcBorders>
          </w:tcPr>
          <w:p w14:paraId="52E5CC1B"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Clean Technology Fund (CTF)</w:t>
            </w:r>
          </w:p>
        </w:tc>
        <w:tc>
          <w:tcPr>
            <w:tcW w:w="1181" w:type="dxa"/>
            <w:tcBorders>
              <w:top w:val="nil"/>
              <w:left w:val="nil"/>
              <w:bottom w:val="single" w:sz="4" w:space="0" w:color="000000"/>
              <w:right w:val="single" w:sz="4" w:space="0" w:color="000000"/>
            </w:tcBorders>
          </w:tcPr>
          <w:p w14:paraId="54D3FD60"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 Fiscal/Financial Incentives, Economic Instruments, Grants/Subsidy</w:t>
            </w:r>
          </w:p>
        </w:tc>
        <w:tc>
          <w:tcPr>
            <w:tcW w:w="2268" w:type="dxa"/>
            <w:tcBorders>
              <w:top w:val="nil"/>
              <w:left w:val="nil"/>
              <w:bottom w:val="single" w:sz="4" w:space="0" w:color="000000"/>
              <w:right w:val="single" w:sz="4" w:space="0" w:color="000000"/>
            </w:tcBorders>
          </w:tcPr>
          <w:p w14:paraId="63AC3659"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CTF aims to accelerate Indonesian initiatives to promote energy efficiency and renewable energy, and to help reach the objective of increasing electricity access from 65% of the population to 90% by 2020. The US$ 400 million plan will help to transform Indonesia's use of renewable energy and ultimately support the Government to meet its long-term goal of reducing greenhouse gas emissions by 26% in 2020. </w:t>
            </w:r>
          </w:p>
        </w:tc>
        <w:tc>
          <w:tcPr>
            <w:tcW w:w="236" w:type="dxa"/>
            <w:tcBorders>
              <w:top w:val="nil"/>
              <w:left w:val="nil"/>
              <w:bottom w:val="single" w:sz="4" w:space="0" w:color="000000"/>
              <w:right w:val="nil"/>
            </w:tcBorders>
          </w:tcPr>
          <w:p w14:paraId="60ADD271"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076F184A"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Green financing</w:t>
            </w:r>
          </w:p>
          <w:p w14:paraId="4C037D30"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decarbonization of Indonesia’s energy sector will require substantial investment in access to clean cooking, renewable energy, energy efficiency and electrification of transport.</w:t>
            </w:r>
          </w:p>
          <w:p w14:paraId="3CE67E05" w14:textId="77777777" w:rsidR="00A031A6" w:rsidRDefault="00A031A6">
            <w:pPr>
              <w:rPr>
                <w:rFonts w:ascii="Arial" w:eastAsia="Arial" w:hAnsi="Arial" w:cs="Arial"/>
                <w:sz w:val="14"/>
                <w:szCs w:val="14"/>
              </w:rPr>
            </w:pPr>
          </w:p>
          <w:p w14:paraId="717D48A6" w14:textId="77777777" w:rsidR="00A031A6" w:rsidRDefault="00A031A6">
            <w:pPr>
              <w:rPr>
                <w:rFonts w:ascii="Arial" w:eastAsia="Arial" w:hAnsi="Arial" w:cs="Arial"/>
                <w:color w:val="000000"/>
                <w:sz w:val="14"/>
                <w:szCs w:val="14"/>
              </w:rPr>
            </w:pPr>
          </w:p>
          <w:p w14:paraId="6E590967" w14:textId="77777777" w:rsidR="00A031A6" w:rsidRDefault="00A031A6">
            <w:pPr>
              <w:rPr>
                <w:rFonts w:ascii="Arial" w:eastAsia="Arial" w:hAnsi="Arial" w:cs="Arial"/>
                <w:sz w:val="14"/>
                <w:szCs w:val="14"/>
              </w:rPr>
            </w:pPr>
          </w:p>
        </w:tc>
        <w:tc>
          <w:tcPr>
            <w:tcW w:w="1485" w:type="dxa"/>
            <w:tcBorders>
              <w:top w:val="nil"/>
              <w:left w:val="nil"/>
              <w:bottom w:val="single" w:sz="4" w:space="0" w:color="000000"/>
              <w:right w:val="single" w:sz="4" w:space="0" w:color="000000"/>
            </w:tcBorders>
          </w:tcPr>
          <w:p w14:paraId="68CAB36B"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Green financing</w:t>
            </w:r>
          </w:p>
          <w:p w14:paraId="43520B94"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An in-depth cost-benefit analysis in NEXSTEP shows that a range of financial instruments and fiscal measures such as fossil fuel subsidies, carbon pricing and green bonds are important in closing the investment gap for the 2030 energy transition.</w:t>
            </w:r>
          </w:p>
        </w:tc>
      </w:tr>
      <w:tr w:rsidR="00A031A6" w14:paraId="2BCF5010" w14:textId="77777777">
        <w:trPr>
          <w:trHeight w:val="2056"/>
        </w:trPr>
        <w:tc>
          <w:tcPr>
            <w:tcW w:w="501" w:type="dxa"/>
            <w:tcBorders>
              <w:top w:val="nil"/>
              <w:left w:val="single" w:sz="4" w:space="0" w:color="000000"/>
              <w:bottom w:val="single" w:sz="4" w:space="0" w:color="000000"/>
              <w:right w:val="single" w:sz="4" w:space="0" w:color="000000"/>
            </w:tcBorders>
          </w:tcPr>
          <w:p w14:paraId="4BCD615A"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6</w:t>
            </w:r>
          </w:p>
        </w:tc>
        <w:tc>
          <w:tcPr>
            <w:tcW w:w="1701" w:type="dxa"/>
            <w:tcBorders>
              <w:top w:val="nil"/>
              <w:left w:val="nil"/>
              <w:bottom w:val="single" w:sz="4" w:space="0" w:color="000000"/>
              <w:right w:val="single" w:sz="4" w:space="0" w:color="000000"/>
            </w:tcBorders>
          </w:tcPr>
          <w:p w14:paraId="211C97CF"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Green Energy Policy (Ministerial Decree No. 2/2004)</w:t>
            </w:r>
          </w:p>
        </w:tc>
        <w:tc>
          <w:tcPr>
            <w:tcW w:w="1181" w:type="dxa"/>
            <w:tcBorders>
              <w:top w:val="nil"/>
              <w:left w:val="nil"/>
              <w:bottom w:val="single" w:sz="4" w:space="0" w:color="000000"/>
              <w:right w:val="single" w:sz="4" w:space="0" w:color="000000"/>
            </w:tcBorders>
          </w:tcPr>
          <w:p w14:paraId="60F8991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Strategic planning, Regulatory instruments, Information and education, Information provision, Economic instruments, Fiscal/financial incentives</w:t>
            </w:r>
          </w:p>
        </w:tc>
        <w:tc>
          <w:tcPr>
            <w:tcW w:w="2268" w:type="dxa"/>
            <w:tcBorders>
              <w:top w:val="nil"/>
              <w:left w:val="nil"/>
              <w:bottom w:val="single" w:sz="4" w:space="0" w:color="000000"/>
              <w:right w:val="single" w:sz="4" w:space="0" w:color="000000"/>
            </w:tcBorders>
          </w:tcPr>
          <w:p w14:paraId="3C151C35"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Green Energy Policy identifies Indonesia’s strategy to maximize the utilization of its renewable energy potential and to build public awareness of energy efficiency measures. The Government provides incentives for the development of the local renewable energy industry in areas such as West and East Nusa Tenggara, Molukken and Papua</w:t>
            </w:r>
          </w:p>
        </w:tc>
        <w:tc>
          <w:tcPr>
            <w:tcW w:w="236" w:type="dxa"/>
            <w:tcBorders>
              <w:top w:val="nil"/>
              <w:left w:val="nil"/>
              <w:bottom w:val="single" w:sz="4" w:space="0" w:color="000000"/>
              <w:right w:val="nil"/>
            </w:tcBorders>
          </w:tcPr>
          <w:p w14:paraId="10E800D6"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2F74D494"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Renewable energy</w:t>
            </w:r>
          </w:p>
          <w:p w14:paraId="300C0C8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Green Energy policy supports the development of renewable energy resources in Indonesia. However, in the current policy scenario the utilization of renewable energy resources is only 7% of the total potential.</w:t>
            </w:r>
          </w:p>
        </w:tc>
        <w:tc>
          <w:tcPr>
            <w:tcW w:w="1485" w:type="dxa"/>
            <w:tcBorders>
              <w:top w:val="nil"/>
              <w:left w:val="nil"/>
              <w:bottom w:val="single" w:sz="4" w:space="0" w:color="000000"/>
              <w:right w:val="single" w:sz="4" w:space="0" w:color="000000"/>
            </w:tcBorders>
          </w:tcPr>
          <w:p w14:paraId="5948896D"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Renewable energy</w:t>
            </w:r>
          </w:p>
          <w:p w14:paraId="4ECD0F43"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NEXSTEP analyses the potential to increase renewables in the energy mix based on the least-cost optimization, emission reduction target and resources constraints. The utilization of renewable energy resources increases to 30% of the total energy potential by 2030.</w:t>
            </w:r>
          </w:p>
        </w:tc>
      </w:tr>
      <w:tr w:rsidR="00A031A6" w14:paraId="6C1C6FE0" w14:textId="77777777">
        <w:trPr>
          <w:trHeight w:val="1789"/>
        </w:trPr>
        <w:tc>
          <w:tcPr>
            <w:tcW w:w="501" w:type="dxa"/>
            <w:tcBorders>
              <w:top w:val="nil"/>
              <w:left w:val="single" w:sz="4" w:space="0" w:color="000000"/>
              <w:bottom w:val="single" w:sz="4" w:space="0" w:color="000000"/>
              <w:right w:val="single" w:sz="4" w:space="0" w:color="000000"/>
            </w:tcBorders>
          </w:tcPr>
          <w:p w14:paraId="4B3F3DAB"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7</w:t>
            </w:r>
          </w:p>
        </w:tc>
        <w:tc>
          <w:tcPr>
            <w:tcW w:w="1701" w:type="dxa"/>
            <w:tcBorders>
              <w:top w:val="nil"/>
              <w:left w:val="nil"/>
              <w:bottom w:val="single" w:sz="4" w:space="0" w:color="000000"/>
              <w:right w:val="single" w:sz="4" w:space="0" w:color="000000"/>
            </w:tcBorders>
          </w:tcPr>
          <w:p w14:paraId="542DAA6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MEPS and Labelling for Air Conditioning (Ministerial Regulation No.57/2017)</w:t>
            </w:r>
          </w:p>
        </w:tc>
        <w:tc>
          <w:tcPr>
            <w:tcW w:w="1181" w:type="dxa"/>
            <w:tcBorders>
              <w:top w:val="nil"/>
              <w:left w:val="nil"/>
              <w:bottom w:val="single" w:sz="4" w:space="0" w:color="000000"/>
              <w:right w:val="single" w:sz="4" w:space="0" w:color="000000"/>
            </w:tcBorders>
          </w:tcPr>
          <w:p w14:paraId="76EE1C3C"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Codes and Standards, MEPS</w:t>
            </w:r>
          </w:p>
        </w:tc>
        <w:tc>
          <w:tcPr>
            <w:tcW w:w="2268" w:type="dxa"/>
            <w:tcBorders>
              <w:top w:val="nil"/>
              <w:left w:val="nil"/>
              <w:bottom w:val="single" w:sz="4" w:space="0" w:color="000000"/>
              <w:right w:val="single" w:sz="4" w:space="0" w:color="000000"/>
            </w:tcBorders>
          </w:tcPr>
          <w:p w14:paraId="27BE1133"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MEPS and labelling for the 27,000 BTU/hour air-conditioning type inverter and non-inverter air conditioners came into force in December 2017 and took effect in July 2018. Ratings stars started with 1 star (for air conditioners with a minimum EER of 8.53) up to 4-star ratings for air conditioners with a minimum EER of 10.41</w:t>
            </w:r>
          </w:p>
        </w:tc>
        <w:tc>
          <w:tcPr>
            <w:tcW w:w="236" w:type="dxa"/>
            <w:tcBorders>
              <w:top w:val="nil"/>
              <w:left w:val="nil"/>
              <w:right w:val="nil"/>
            </w:tcBorders>
          </w:tcPr>
          <w:p w14:paraId="41A69E7B" w14:textId="77777777" w:rsidR="00A031A6" w:rsidRDefault="00A031A6">
            <w:pPr>
              <w:rPr>
                <w:rFonts w:ascii="Arial" w:eastAsia="Arial" w:hAnsi="Arial" w:cs="Arial"/>
                <w:b/>
                <w:color w:val="000000"/>
                <w:sz w:val="14"/>
                <w:szCs w:val="14"/>
              </w:rPr>
            </w:pPr>
          </w:p>
        </w:tc>
        <w:tc>
          <w:tcPr>
            <w:tcW w:w="2829" w:type="dxa"/>
            <w:vMerge w:val="restart"/>
            <w:tcBorders>
              <w:top w:val="nil"/>
              <w:left w:val="nil"/>
              <w:right w:val="single" w:sz="4" w:space="0" w:color="000000"/>
            </w:tcBorders>
          </w:tcPr>
          <w:p w14:paraId="301A9D11" w14:textId="77777777" w:rsidR="00A031A6" w:rsidRDefault="00916FD0">
            <w:pPr>
              <w:rPr>
                <w:rFonts w:ascii="Arial" w:eastAsia="Arial" w:hAnsi="Arial" w:cs="Arial"/>
                <w:color w:val="000000"/>
                <w:sz w:val="14"/>
                <w:szCs w:val="14"/>
              </w:rPr>
            </w:pPr>
            <w:r>
              <w:rPr>
                <w:rFonts w:ascii="Arial" w:eastAsia="Arial" w:hAnsi="Arial" w:cs="Arial"/>
                <w:b/>
                <w:color w:val="000000"/>
                <w:sz w:val="14"/>
                <w:szCs w:val="14"/>
              </w:rPr>
              <w:t>MEPS</w:t>
            </w:r>
          </w:p>
          <w:p w14:paraId="08085A7D"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MEPS for air conditioners is a cost-effective solution to achieve substantial savings in energy consumption and reduce emissions in buildings.</w:t>
            </w:r>
          </w:p>
          <w:p w14:paraId="4384218F" w14:textId="77777777" w:rsidR="00A031A6" w:rsidRDefault="00A031A6">
            <w:pPr>
              <w:rPr>
                <w:rFonts w:ascii="Arial" w:eastAsia="Arial" w:hAnsi="Arial" w:cs="Arial"/>
                <w:color w:val="000000"/>
                <w:sz w:val="14"/>
                <w:szCs w:val="14"/>
              </w:rPr>
            </w:pPr>
          </w:p>
          <w:p w14:paraId="3F0854F9" w14:textId="77777777" w:rsidR="00A031A6" w:rsidRDefault="00A031A6">
            <w:pPr>
              <w:rPr>
                <w:rFonts w:ascii="Arial" w:eastAsia="Arial" w:hAnsi="Arial" w:cs="Arial"/>
                <w:color w:val="000000"/>
                <w:sz w:val="14"/>
                <w:szCs w:val="14"/>
              </w:rPr>
            </w:pPr>
          </w:p>
        </w:tc>
        <w:tc>
          <w:tcPr>
            <w:tcW w:w="1485" w:type="dxa"/>
            <w:vMerge w:val="restart"/>
            <w:tcBorders>
              <w:top w:val="nil"/>
              <w:left w:val="nil"/>
              <w:right w:val="single" w:sz="4" w:space="0" w:color="000000"/>
            </w:tcBorders>
          </w:tcPr>
          <w:p w14:paraId="3DB0AF1F" w14:textId="77777777" w:rsidR="00A031A6" w:rsidRDefault="00916FD0">
            <w:pPr>
              <w:rPr>
                <w:rFonts w:ascii="Arial" w:eastAsia="Arial" w:hAnsi="Arial" w:cs="Arial"/>
                <w:color w:val="000000"/>
                <w:sz w:val="14"/>
                <w:szCs w:val="14"/>
              </w:rPr>
            </w:pPr>
            <w:r>
              <w:rPr>
                <w:rFonts w:ascii="Arial" w:eastAsia="Arial" w:hAnsi="Arial" w:cs="Arial"/>
                <w:b/>
                <w:color w:val="000000"/>
                <w:sz w:val="14"/>
                <w:szCs w:val="14"/>
              </w:rPr>
              <w:t>MEPS</w:t>
            </w:r>
          </w:p>
          <w:p w14:paraId="3E3B09DC"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NEXSTEP analysis suggests the implementation of a mandatory MEPS policy for air conditioners from 2022 onwards. </w:t>
            </w:r>
          </w:p>
          <w:p w14:paraId="79F60F57" w14:textId="77777777" w:rsidR="00A031A6" w:rsidRDefault="00A031A6">
            <w:pPr>
              <w:rPr>
                <w:rFonts w:ascii="Arial" w:eastAsia="Arial" w:hAnsi="Arial" w:cs="Arial"/>
                <w:color w:val="000000"/>
                <w:sz w:val="14"/>
                <w:szCs w:val="14"/>
              </w:rPr>
            </w:pPr>
          </w:p>
          <w:p w14:paraId="6FB77550"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Energy savings potential of 12.9 TWh in 2030 is possible if a minimum EER of 12.3 is introduced in 2022.</w:t>
            </w:r>
          </w:p>
        </w:tc>
      </w:tr>
      <w:tr w:rsidR="00A031A6" w14:paraId="1BE7F14A" w14:textId="77777777">
        <w:trPr>
          <w:trHeight w:val="967"/>
        </w:trPr>
        <w:tc>
          <w:tcPr>
            <w:tcW w:w="501" w:type="dxa"/>
            <w:tcBorders>
              <w:top w:val="nil"/>
              <w:left w:val="single" w:sz="4" w:space="0" w:color="000000"/>
              <w:bottom w:val="single" w:sz="4" w:space="0" w:color="000000"/>
              <w:right w:val="single" w:sz="4" w:space="0" w:color="000000"/>
            </w:tcBorders>
          </w:tcPr>
          <w:p w14:paraId="19FCE148"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8</w:t>
            </w:r>
          </w:p>
        </w:tc>
        <w:tc>
          <w:tcPr>
            <w:tcW w:w="1701" w:type="dxa"/>
            <w:tcBorders>
              <w:top w:val="nil"/>
              <w:left w:val="nil"/>
              <w:bottom w:val="single" w:sz="4" w:space="0" w:color="000000"/>
              <w:right w:val="single" w:sz="4" w:space="0" w:color="000000"/>
            </w:tcBorders>
          </w:tcPr>
          <w:p w14:paraId="155B5935"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MEPS and Labelling for Air Conditioning (Ministerial Regulation No.07/2015)</w:t>
            </w:r>
          </w:p>
        </w:tc>
        <w:tc>
          <w:tcPr>
            <w:tcW w:w="1181" w:type="dxa"/>
            <w:tcBorders>
              <w:top w:val="nil"/>
              <w:left w:val="nil"/>
              <w:bottom w:val="single" w:sz="4" w:space="0" w:color="000000"/>
              <w:right w:val="single" w:sz="4" w:space="0" w:color="000000"/>
            </w:tcBorders>
          </w:tcPr>
          <w:p w14:paraId="6C79F5C2"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Codes and Standards, Product Standards, MEPS</w:t>
            </w:r>
          </w:p>
        </w:tc>
        <w:tc>
          <w:tcPr>
            <w:tcW w:w="2268" w:type="dxa"/>
            <w:tcBorders>
              <w:top w:val="nil"/>
              <w:left w:val="nil"/>
              <w:bottom w:val="single" w:sz="4" w:space="0" w:color="000000"/>
              <w:right w:val="single" w:sz="4" w:space="0" w:color="000000"/>
            </w:tcBorders>
          </w:tcPr>
          <w:p w14:paraId="1DD5F376"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minimum energy efficiency requirement of single split wall-mounted type residential air conditioners,</w:t>
            </w:r>
            <w:r>
              <w:rPr>
                <w:rFonts w:ascii="Arial" w:eastAsia="Arial" w:hAnsi="Arial" w:cs="Arial"/>
                <w:color w:val="000000"/>
                <w:sz w:val="14"/>
                <w:szCs w:val="14"/>
              </w:rPr>
              <w:br/>
              <w:t>-inverter: EER 2.64;</w:t>
            </w:r>
            <w:r>
              <w:rPr>
                <w:rFonts w:ascii="Arial" w:eastAsia="Arial" w:hAnsi="Arial" w:cs="Arial"/>
                <w:color w:val="000000"/>
                <w:sz w:val="14"/>
                <w:szCs w:val="14"/>
              </w:rPr>
              <w:br/>
              <w:t xml:space="preserve">-non-inverter: EER 2.50. </w:t>
            </w:r>
          </w:p>
        </w:tc>
        <w:tc>
          <w:tcPr>
            <w:tcW w:w="236" w:type="dxa"/>
            <w:tcBorders>
              <w:left w:val="nil"/>
              <w:bottom w:val="single" w:sz="4" w:space="0" w:color="000000"/>
              <w:right w:val="nil"/>
            </w:tcBorders>
          </w:tcPr>
          <w:p w14:paraId="33E9C392" w14:textId="77777777" w:rsidR="00A031A6" w:rsidRDefault="00A031A6">
            <w:pPr>
              <w:rPr>
                <w:rFonts w:ascii="Arial" w:eastAsia="Arial" w:hAnsi="Arial" w:cs="Arial"/>
                <w:color w:val="000000"/>
                <w:sz w:val="14"/>
                <w:szCs w:val="14"/>
              </w:rPr>
            </w:pPr>
          </w:p>
        </w:tc>
        <w:tc>
          <w:tcPr>
            <w:tcW w:w="2829" w:type="dxa"/>
            <w:vMerge/>
            <w:tcBorders>
              <w:top w:val="nil"/>
              <w:left w:val="nil"/>
              <w:right w:val="single" w:sz="4" w:space="0" w:color="000000"/>
            </w:tcBorders>
          </w:tcPr>
          <w:p w14:paraId="2A007961" w14:textId="77777777"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4"/>
                <w:szCs w:val="14"/>
              </w:rPr>
            </w:pPr>
          </w:p>
        </w:tc>
        <w:tc>
          <w:tcPr>
            <w:tcW w:w="1485" w:type="dxa"/>
            <w:vMerge/>
            <w:tcBorders>
              <w:top w:val="nil"/>
              <w:left w:val="nil"/>
              <w:right w:val="single" w:sz="4" w:space="0" w:color="000000"/>
            </w:tcBorders>
          </w:tcPr>
          <w:p w14:paraId="6F3D40B2" w14:textId="77777777" w:rsidR="00A031A6" w:rsidRDefault="00A031A6">
            <w:pPr>
              <w:widowControl w:val="0"/>
              <w:pBdr>
                <w:top w:val="nil"/>
                <w:left w:val="nil"/>
                <w:bottom w:val="nil"/>
                <w:right w:val="nil"/>
                <w:between w:val="nil"/>
              </w:pBdr>
              <w:spacing w:line="276" w:lineRule="auto"/>
              <w:jc w:val="left"/>
              <w:rPr>
                <w:rFonts w:ascii="Arial" w:eastAsia="Arial" w:hAnsi="Arial" w:cs="Arial"/>
                <w:color w:val="000000"/>
                <w:sz w:val="14"/>
                <w:szCs w:val="14"/>
              </w:rPr>
            </w:pPr>
          </w:p>
        </w:tc>
      </w:tr>
      <w:tr w:rsidR="00A031A6" w14:paraId="13D66B25" w14:textId="77777777">
        <w:trPr>
          <w:trHeight w:val="3230"/>
        </w:trPr>
        <w:tc>
          <w:tcPr>
            <w:tcW w:w="501" w:type="dxa"/>
            <w:tcBorders>
              <w:top w:val="nil"/>
              <w:left w:val="single" w:sz="4" w:space="0" w:color="000000"/>
              <w:bottom w:val="single" w:sz="4" w:space="0" w:color="000000"/>
              <w:right w:val="single" w:sz="4" w:space="0" w:color="000000"/>
            </w:tcBorders>
          </w:tcPr>
          <w:p w14:paraId="2C206AD7"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9</w:t>
            </w:r>
          </w:p>
        </w:tc>
        <w:tc>
          <w:tcPr>
            <w:tcW w:w="1701" w:type="dxa"/>
            <w:tcBorders>
              <w:top w:val="nil"/>
              <w:left w:val="nil"/>
              <w:bottom w:val="single" w:sz="4" w:space="0" w:color="000000"/>
              <w:right w:val="single" w:sz="4" w:space="0" w:color="000000"/>
            </w:tcBorders>
          </w:tcPr>
          <w:p w14:paraId="72AF9477"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Sales tax exemption for low cost green cars</w:t>
            </w:r>
          </w:p>
        </w:tc>
        <w:tc>
          <w:tcPr>
            <w:tcW w:w="1181" w:type="dxa"/>
            <w:tcBorders>
              <w:top w:val="nil"/>
              <w:left w:val="nil"/>
              <w:bottom w:val="single" w:sz="4" w:space="0" w:color="000000"/>
              <w:right w:val="single" w:sz="4" w:space="0" w:color="000000"/>
            </w:tcBorders>
          </w:tcPr>
          <w:p w14:paraId="54DF9BAE"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Economic instruments, fiscal/financial incentives, Value-Added Tax, tax relief</w:t>
            </w:r>
          </w:p>
        </w:tc>
        <w:tc>
          <w:tcPr>
            <w:tcW w:w="2268" w:type="dxa"/>
            <w:tcBorders>
              <w:top w:val="nil"/>
              <w:left w:val="nil"/>
              <w:bottom w:val="single" w:sz="4" w:space="0" w:color="000000"/>
              <w:right w:val="single" w:sz="4" w:space="0" w:color="000000"/>
            </w:tcBorders>
          </w:tcPr>
          <w:p w14:paraId="21644532"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This is a component regulated in Ministry of Finance Regulation No. 33 // PMK.010 // 2017 concerning types of motorized vehicles subject to Luxury Sales Tax (LST). A sales tax of zero per cent is charged for motorised vehicles that are cheap and environmentally-friendly cars with the following provisions:</w:t>
            </w:r>
          </w:p>
          <w:p w14:paraId="1EBF409E"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1. Internal spark combustion engine with a cylinder capacity of up to 1,200 cc and fuel consumption for at least 20 (twenty) kilometres per litre or other equivalent fuel; or</w:t>
            </w:r>
          </w:p>
          <w:p w14:paraId="2A1EC2BE"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2. Compression ignition engine (diesel or semi-diesel) with a cylinder capacity up to 1,500 cc and fuel consumption of at least </w:t>
            </w:r>
            <w:r>
              <w:rPr>
                <w:rFonts w:ascii="Arial" w:eastAsia="Arial" w:hAnsi="Arial" w:cs="Arial"/>
                <w:color w:val="000000"/>
                <w:sz w:val="14"/>
                <w:szCs w:val="14"/>
              </w:rPr>
              <w:lastRenderedPageBreak/>
              <w:t>20 (twenty) kilometres per litre or other equivalent fuel</w:t>
            </w:r>
          </w:p>
        </w:tc>
        <w:tc>
          <w:tcPr>
            <w:tcW w:w="236" w:type="dxa"/>
            <w:tcBorders>
              <w:top w:val="nil"/>
              <w:left w:val="nil"/>
              <w:bottom w:val="single" w:sz="4" w:space="0" w:color="000000"/>
              <w:right w:val="nil"/>
            </w:tcBorders>
          </w:tcPr>
          <w:p w14:paraId="7921C897"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20193355"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Sustainable transport</w:t>
            </w:r>
          </w:p>
          <w:p w14:paraId="01D2FBB4"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low-cost green car incentive is a significant boost towards reducing fuel consumption in the transport sector. However, the policy fails to include long-term energy transition technologies such as electric vehicles and hybrids.</w:t>
            </w:r>
          </w:p>
        </w:tc>
        <w:tc>
          <w:tcPr>
            <w:tcW w:w="1485" w:type="dxa"/>
            <w:tcBorders>
              <w:top w:val="nil"/>
              <w:left w:val="nil"/>
              <w:bottom w:val="single" w:sz="4" w:space="0" w:color="000000"/>
              <w:right w:val="single" w:sz="4" w:space="0" w:color="000000"/>
            </w:tcBorders>
          </w:tcPr>
          <w:p w14:paraId="160EE83B"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Sustainable transport</w:t>
            </w:r>
          </w:p>
          <w:p w14:paraId="54EFEFFC"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NEXSTEP suggests that smart policies are essential to incentivize long-term sustainable transport technologies, such as electric vehicles and hybrids. Although implementation of these strategies will incur costs for the Government, the benefit is enormous, including higher energy security, lower emissions and reduction in final </w:t>
            </w:r>
            <w:r>
              <w:rPr>
                <w:rFonts w:ascii="Arial" w:eastAsia="Arial" w:hAnsi="Arial" w:cs="Arial"/>
                <w:color w:val="000000"/>
                <w:sz w:val="14"/>
                <w:szCs w:val="14"/>
              </w:rPr>
              <w:lastRenderedPageBreak/>
              <w:t xml:space="preserve">energy consumption. </w:t>
            </w:r>
          </w:p>
        </w:tc>
      </w:tr>
      <w:tr w:rsidR="00A031A6" w14:paraId="29AD6170" w14:textId="77777777">
        <w:trPr>
          <w:trHeight w:val="37"/>
        </w:trPr>
        <w:tc>
          <w:tcPr>
            <w:tcW w:w="501" w:type="dxa"/>
            <w:tcBorders>
              <w:top w:val="nil"/>
              <w:left w:val="single" w:sz="4" w:space="0" w:color="000000"/>
              <w:bottom w:val="single" w:sz="4" w:space="0" w:color="000000"/>
              <w:right w:val="single" w:sz="4" w:space="0" w:color="000000"/>
            </w:tcBorders>
          </w:tcPr>
          <w:p w14:paraId="23D920B1"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lastRenderedPageBreak/>
              <w:t>10</w:t>
            </w:r>
          </w:p>
        </w:tc>
        <w:tc>
          <w:tcPr>
            <w:tcW w:w="1701" w:type="dxa"/>
            <w:tcBorders>
              <w:top w:val="nil"/>
              <w:left w:val="nil"/>
              <w:bottom w:val="single" w:sz="4" w:space="0" w:color="000000"/>
              <w:right w:val="single" w:sz="4" w:space="0" w:color="000000"/>
            </w:tcBorders>
          </w:tcPr>
          <w:p w14:paraId="5BC7ED42"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Energy Efficiency Labelling Programme (EE S&amp;L)</w:t>
            </w:r>
          </w:p>
        </w:tc>
        <w:tc>
          <w:tcPr>
            <w:tcW w:w="1181" w:type="dxa"/>
            <w:tcBorders>
              <w:top w:val="nil"/>
              <w:left w:val="nil"/>
              <w:bottom w:val="single" w:sz="4" w:space="0" w:color="000000"/>
              <w:right w:val="single" w:sz="4" w:space="0" w:color="000000"/>
            </w:tcBorders>
          </w:tcPr>
          <w:p w14:paraId="1FE5D758"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Regulatory Instruments, Information and Education, Performance labels, Endorsement label</w:t>
            </w:r>
          </w:p>
        </w:tc>
        <w:tc>
          <w:tcPr>
            <w:tcW w:w="2268" w:type="dxa"/>
            <w:tcBorders>
              <w:top w:val="nil"/>
              <w:left w:val="nil"/>
              <w:bottom w:val="single" w:sz="4" w:space="0" w:color="000000"/>
              <w:right w:val="single" w:sz="4" w:space="0" w:color="000000"/>
            </w:tcBorders>
          </w:tcPr>
          <w:p w14:paraId="4F8300B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This program currently covers air conditioning (voluntary), compact fluorescent lightbulbs (mandatory), refrigerators (voluntary) and freezers (voluntary). Programs to cover rice cookers, clothes washers, irons, ballasts, televisions, and fans are under development as of early 2015.</w:t>
            </w:r>
            <w:r>
              <w:rPr>
                <w:rFonts w:ascii="Arial" w:eastAsia="Arial" w:hAnsi="Arial" w:cs="Arial"/>
                <w:color w:val="000000"/>
                <w:sz w:val="14"/>
                <w:szCs w:val="14"/>
              </w:rPr>
              <w:br/>
            </w:r>
          </w:p>
          <w:p w14:paraId="6FBE6934" w14:textId="77777777" w:rsidR="00A031A6" w:rsidRDefault="00A031A6">
            <w:pPr>
              <w:rPr>
                <w:rFonts w:ascii="Arial" w:eastAsia="Arial" w:hAnsi="Arial" w:cs="Arial"/>
                <w:color w:val="000000"/>
                <w:sz w:val="14"/>
                <w:szCs w:val="14"/>
              </w:rPr>
            </w:pPr>
          </w:p>
          <w:p w14:paraId="76D6E719" w14:textId="77777777" w:rsidR="00A031A6" w:rsidRDefault="00A031A6">
            <w:pPr>
              <w:rPr>
                <w:rFonts w:ascii="Arial" w:eastAsia="Arial" w:hAnsi="Arial" w:cs="Arial"/>
                <w:color w:val="000000"/>
                <w:sz w:val="14"/>
                <w:szCs w:val="14"/>
              </w:rPr>
            </w:pPr>
          </w:p>
          <w:p w14:paraId="2D6CA9FC" w14:textId="77777777" w:rsidR="00A031A6" w:rsidRDefault="00A031A6">
            <w:pPr>
              <w:rPr>
                <w:rFonts w:ascii="Arial" w:eastAsia="Arial" w:hAnsi="Arial" w:cs="Arial"/>
                <w:color w:val="000000"/>
                <w:sz w:val="14"/>
                <w:szCs w:val="14"/>
              </w:rPr>
            </w:pPr>
          </w:p>
        </w:tc>
        <w:tc>
          <w:tcPr>
            <w:tcW w:w="236" w:type="dxa"/>
            <w:tcBorders>
              <w:top w:val="nil"/>
              <w:left w:val="nil"/>
              <w:bottom w:val="single" w:sz="4" w:space="0" w:color="000000"/>
              <w:right w:val="nil"/>
            </w:tcBorders>
          </w:tcPr>
          <w:p w14:paraId="3CC204C9"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7A3E5D7F"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EE S&amp;L</w:t>
            </w:r>
          </w:p>
          <w:p w14:paraId="4595C01B"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Indonesia’s current policy for EE S&amp;L programme is still in the initial stages of development with mandatory policies for compact fluorescent lightbulbs (CFL) and voluntary labelling for air conditioners, refrigerators and freezers.</w:t>
            </w:r>
          </w:p>
          <w:p w14:paraId="1CF7A61A" w14:textId="77777777" w:rsidR="00A031A6" w:rsidRDefault="00A031A6">
            <w:pPr>
              <w:rPr>
                <w:rFonts w:ascii="Arial" w:eastAsia="Arial" w:hAnsi="Arial" w:cs="Arial"/>
                <w:color w:val="000000"/>
                <w:sz w:val="14"/>
                <w:szCs w:val="14"/>
              </w:rPr>
            </w:pPr>
          </w:p>
          <w:p w14:paraId="63ABE233" w14:textId="77777777" w:rsidR="00A031A6" w:rsidRDefault="00A031A6">
            <w:pPr>
              <w:rPr>
                <w:rFonts w:ascii="Arial" w:eastAsia="Arial" w:hAnsi="Arial" w:cs="Arial"/>
                <w:color w:val="000000"/>
                <w:sz w:val="14"/>
                <w:szCs w:val="14"/>
              </w:rPr>
            </w:pPr>
          </w:p>
        </w:tc>
        <w:tc>
          <w:tcPr>
            <w:tcW w:w="1485" w:type="dxa"/>
            <w:tcBorders>
              <w:top w:val="nil"/>
              <w:left w:val="nil"/>
              <w:bottom w:val="single" w:sz="4" w:space="0" w:color="000000"/>
              <w:right w:val="single" w:sz="4" w:space="0" w:color="000000"/>
            </w:tcBorders>
          </w:tcPr>
          <w:p w14:paraId="5411A58E"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EE S&amp;L</w:t>
            </w:r>
          </w:p>
          <w:p w14:paraId="4409090F"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A NEXSTEP analysis suggests that a mandatory EE S&amp;L programme should be implemented from 2022, covering all major household appliances such as air conditioners, refrigerators, televisions, washing machines, LED light bulbs, electric fans and water pumps.</w:t>
            </w:r>
          </w:p>
        </w:tc>
      </w:tr>
      <w:tr w:rsidR="00A031A6" w14:paraId="1F0C8CCE" w14:textId="77777777">
        <w:trPr>
          <w:trHeight w:val="2093"/>
        </w:trPr>
        <w:tc>
          <w:tcPr>
            <w:tcW w:w="501" w:type="dxa"/>
            <w:tcBorders>
              <w:top w:val="nil"/>
              <w:left w:val="single" w:sz="4" w:space="0" w:color="000000"/>
              <w:bottom w:val="single" w:sz="4" w:space="0" w:color="000000"/>
              <w:right w:val="single" w:sz="4" w:space="0" w:color="000000"/>
            </w:tcBorders>
          </w:tcPr>
          <w:p w14:paraId="7B7FC91F"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11</w:t>
            </w:r>
          </w:p>
        </w:tc>
        <w:tc>
          <w:tcPr>
            <w:tcW w:w="1701" w:type="dxa"/>
            <w:tcBorders>
              <w:top w:val="nil"/>
              <w:left w:val="nil"/>
              <w:bottom w:val="single" w:sz="4" w:space="0" w:color="000000"/>
              <w:right w:val="single" w:sz="4" w:space="0" w:color="000000"/>
            </w:tcBorders>
          </w:tcPr>
          <w:p w14:paraId="7053966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Energy efficiency awareness raising</w:t>
            </w:r>
          </w:p>
        </w:tc>
        <w:tc>
          <w:tcPr>
            <w:tcW w:w="1181" w:type="dxa"/>
            <w:tcBorders>
              <w:top w:val="nil"/>
              <w:left w:val="nil"/>
              <w:bottom w:val="single" w:sz="4" w:space="0" w:color="000000"/>
              <w:right w:val="single" w:sz="4" w:space="0" w:color="000000"/>
            </w:tcBorders>
          </w:tcPr>
          <w:p w14:paraId="51BD0BA3" w14:textId="77777777" w:rsidR="00A031A6" w:rsidRDefault="00916FD0">
            <w:pPr>
              <w:spacing w:after="240"/>
              <w:rPr>
                <w:rFonts w:ascii="Arial" w:eastAsia="Arial" w:hAnsi="Arial" w:cs="Arial"/>
                <w:color w:val="000000"/>
                <w:sz w:val="14"/>
                <w:szCs w:val="14"/>
              </w:rPr>
            </w:pPr>
            <w:r>
              <w:rPr>
                <w:rFonts w:ascii="Arial" w:eastAsia="Arial" w:hAnsi="Arial" w:cs="Arial"/>
                <w:color w:val="000000"/>
                <w:sz w:val="14"/>
                <w:szCs w:val="14"/>
              </w:rPr>
              <w:t>Information and education</w:t>
            </w:r>
          </w:p>
        </w:tc>
        <w:tc>
          <w:tcPr>
            <w:tcW w:w="2268" w:type="dxa"/>
            <w:tcBorders>
              <w:top w:val="nil"/>
              <w:left w:val="nil"/>
              <w:bottom w:val="single" w:sz="4" w:space="0" w:color="000000"/>
              <w:right w:val="single" w:sz="4" w:space="0" w:color="000000"/>
            </w:tcBorders>
          </w:tcPr>
          <w:p w14:paraId="5C74448E"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 xml:space="preserve">In raising awareness and introducing the benefits of energy efficiency, the Indonesian Ministry of Energy and Mineral Resources created key programmes such as the 10% Cut Campaign Programme (10% Cutting Energy Use) which encourages all stakeholders in the energy sector, including government agencies, industry, NGOs, and the public, to reduce energy consumption by up to 10%. </w:t>
            </w:r>
          </w:p>
        </w:tc>
        <w:tc>
          <w:tcPr>
            <w:tcW w:w="236" w:type="dxa"/>
            <w:tcBorders>
              <w:top w:val="nil"/>
              <w:left w:val="nil"/>
              <w:bottom w:val="single" w:sz="4" w:space="0" w:color="000000"/>
              <w:right w:val="nil"/>
            </w:tcBorders>
          </w:tcPr>
          <w:p w14:paraId="7376DB57"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31C99E0E"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14:paraId="1EC145E5"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An energy efficiency improvement of 10% in government agencies, industry, NGOs and the public.</w:t>
            </w:r>
          </w:p>
        </w:tc>
        <w:tc>
          <w:tcPr>
            <w:tcW w:w="1485" w:type="dxa"/>
            <w:tcBorders>
              <w:top w:val="nil"/>
              <w:left w:val="nil"/>
              <w:bottom w:val="single" w:sz="4" w:space="0" w:color="000000"/>
              <w:right w:val="single" w:sz="4" w:space="0" w:color="000000"/>
            </w:tcBorders>
          </w:tcPr>
          <w:p w14:paraId="77A32E9D"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Energy efficiency</w:t>
            </w:r>
          </w:p>
          <w:p w14:paraId="4A4047BA"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A NEXSTEP analysis models a 10% improvement in government buildings, which is expected to reduce energy consumption by 349,000 BOE in 2030.</w:t>
            </w:r>
          </w:p>
        </w:tc>
      </w:tr>
      <w:tr w:rsidR="00A031A6" w14:paraId="42C863EA" w14:textId="77777777">
        <w:trPr>
          <w:trHeight w:val="2772"/>
        </w:trPr>
        <w:tc>
          <w:tcPr>
            <w:tcW w:w="501" w:type="dxa"/>
            <w:tcBorders>
              <w:top w:val="nil"/>
              <w:left w:val="single" w:sz="4" w:space="0" w:color="000000"/>
              <w:bottom w:val="single" w:sz="4" w:space="0" w:color="000000"/>
              <w:right w:val="single" w:sz="4" w:space="0" w:color="000000"/>
            </w:tcBorders>
          </w:tcPr>
          <w:p w14:paraId="3F827355" w14:textId="77777777" w:rsidR="00A031A6" w:rsidRDefault="00916FD0">
            <w:pPr>
              <w:jc w:val="center"/>
              <w:rPr>
                <w:rFonts w:ascii="Arial" w:eastAsia="Arial" w:hAnsi="Arial" w:cs="Arial"/>
                <w:color w:val="000000"/>
                <w:sz w:val="14"/>
                <w:szCs w:val="14"/>
              </w:rPr>
            </w:pPr>
            <w:r>
              <w:rPr>
                <w:rFonts w:ascii="Arial" w:eastAsia="Arial" w:hAnsi="Arial" w:cs="Arial"/>
                <w:color w:val="000000"/>
                <w:sz w:val="14"/>
                <w:szCs w:val="14"/>
              </w:rPr>
              <w:t>12</w:t>
            </w:r>
          </w:p>
        </w:tc>
        <w:tc>
          <w:tcPr>
            <w:tcW w:w="1701" w:type="dxa"/>
            <w:tcBorders>
              <w:top w:val="nil"/>
              <w:left w:val="nil"/>
              <w:bottom w:val="single" w:sz="4" w:space="0" w:color="000000"/>
              <w:right w:val="single" w:sz="4" w:space="0" w:color="000000"/>
            </w:tcBorders>
          </w:tcPr>
          <w:p w14:paraId="0A8F5C13"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Prototyping of electric buses and city cars</w:t>
            </w:r>
          </w:p>
        </w:tc>
        <w:tc>
          <w:tcPr>
            <w:tcW w:w="1181" w:type="dxa"/>
            <w:tcBorders>
              <w:top w:val="nil"/>
              <w:left w:val="nil"/>
              <w:bottom w:val="single" w:sz="4" w:space="0" w:color="000000"/>
              <w:right w:val="single" w:sz="4" w:space="0" w:color="000000"/>
            </w:tcBorders>
          </w:tcPr>
          <w:p w14:paraId="38CBF05D"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Research, development and deployment</w:t>
            </w:r>
            <w:r>
              <w:rPr>
                <w:rFonts w:ascii="Arial" w:eastAsia="Arial" w:hAnsi="Arial" w:cs="Arial"/>
                <w:color w:val="000000"/>
                <w:sz w:val="14"/>
                <w:szCs w:val="14"/>
              </w:rPr>
              <w:br/>
              <w:t>Applied research</w:t>
            </w:r>
          </w:p>
        </w:tc>
        <w:tc>
          <w:tcPr>
            <w:tcW w:w="2268" w:type="dxa"/>
            <w:tcBorders>
              <w:top w:val="nil"/>
              <w:left w:val="nil"/>
              <w:bottom w:val="single" w:sz="4" w:space="0" w:color="000000"/>
              <w:right w:val="single" w:sz="4" w:space="0" w:color="000000"/>
            </w:tcBorders>
          </w:tcPr>
          <w:p w14:paraId="02D0E0C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Indonesian Institute of Sciences (LIPI) has produced various prototypes of electric buses and city cars. The technology centre will become the main location for the design of electric auto components produced by Indonesians.</w:t>
            </w:r>
          </w:p>
        </w:tc>
        <w:tc>
          <w:tcPr>
            <w:tcW w:w="236" w:type="dxa"/>
            <w:tcBorders>
              <w:top w:val="nil"/>
              <w:left w:val="nil"/>
              <w:bottom w:val="single" w:sz="4" w:space="0" w:color="000000"/>
              <w:right w:val="nil"/>
            </w:tcBorders>
          </w:tcPr>
          <w:p w14:paraId="224AEBBC" w14:textId="77777777" w:rsidR="00A031A6" w:rsidRDefault="00A031A6">
            <w:pPr>
              <w:rPr>
                <w:rFonts w:ascii="Arial" w:eastAsia="Arial" w:hAnsi="Arial" w:cs="Arial"/>
                <w:b/>
                <w:color w:val="000000"/>
                <w:sz w:val="14"/>
                <w:szCs w:val="14"/>
              </w:rPr>
            </w:pPr>
          </w:p>
        </w:tc>
        <w:tc>
          <w:tcPr>
            <w:tcW w:w="2829" w:type="dxa"/>
            <w:tcBorders>
              <w:top w:val="nil"/>
              <w:left w:val="nil"/>
              <w:bottom w:val="single" w:sz="4" w:space="0" w:color="000000"/>
              <w:right w:val="single" w:sz="4" w:space="0" w:color="000000"/>
            </w:tcBorders>
          </w:tcPr>
          <w:p w14:paraId="2F4257CD"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Electric transport</w:t>
            </w:r>
          </w:p>
          <w:p w14:paraId="1F2F2F69"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The policy supports the development of electric transport in Indonesia. It is a good starting point, but it needs to be expanded to establish Indonesia as a leading electric transport market.</w:t>
            </w:r>
          </w:p>
        </w:tc>
        <w:tc>
          <w:tcPr>
            <w:tcW w:w="1485" w:type="dxa"/>
            <w:tcBorders>
              <w:top w:val="nil"/>
              <w:left w:val="nil"/>
              <w:bottom w:val="single" w:sz="4" w:space="0" w:color="000000"/>
              <w:right w:val="single" w:sz="4" w:space="0" w:color="000000"/>
            </w:tcBorders>
          </w:tcPr>
          <w:p w14:paraId="703AA41C" w14:textId="77777777" w:rsidR="00A031A6" w:rsidRDefault="00916FD0">
            <w:pPr>
              <w:rPr>
                <w:rFonts w:ascii="Arial" w:eastAsia="Arial" w:hAnsi="Arial" w:cs="Arial"/>
                <w:b/>
                <w:color w:val="000000"/>
                <w:sz w:val="14"/>
                <w:szCs w:val="14"/>
              </w:rPr>
            </w:pPr>
            <w:r>
              <w:rPr>
                <w:rFonts w:ascii="Arial" w:eastAsia="Arial" w:hAnsi="Arial" w:cs="Arial"/>
                <w:b/>
                <w:color w:val="000000"/>
                <w:sz w:val="14"/>
                <w:szCs w:val="14"/>
              </w:rPr>
              <w:t>Electric transport</w:t>
            </w:r>
          </w:p>
          <w:p w14:paraId="14B6C5A1" w14:textId="77777777" w:rsidR="00A031A6" w:rsidRDefault="00916FD0">
            <w:pPr>
              <w:rPr>
                <w:rFonts w:ascii="Arial" w:eastAsia="Arial" w:hAnsi="Arial" w:cs="Arial"/>
                <w:color w:val="000000"/>
                <w:sz w:val="14"/>
                <w:szCs w:val="14"/>
              </w:rPr>
            </w:pPr>
            <w:r>
              <w:rPr>
                <w:rFonts w:ascii="Arial" w:eastAsia="Arial" w:hAnsi="Arial" w:cs="Arial"/>
                <w:color w:val="000000"/>
                <w:sz w:val="14"/>
                <w:szCs w:val="14"/>
              </w:rPr>
              <w:t>Indonesia has the potential to become a major producer of electric vehicles in South-East Asia. A NEXSTEP analysis shows that electric transport policies such as 50% EV passenger cars, 50% electric buses and 100% electric taxis can reduce emissions by 29 MTCO2e- in 2030.</w:t>
            </w:r>
          </w:p>
        </w:tc>
      </w:tr>
    </w:tbl>
    <w:p w14:paraId="1CADEB37" w14:textId="77777777" w:rsidR="00A031A6" w:rsidRDefault="00A031A6">
      <w:pPr>
        <w:rPr>
          <w:rFonts w:ascii="Arial" w:eastAsia="Arial" w:hAnsi="Arial" w:cs="Arial"/>
          <w:b/>
          <w:color w:val="0070C0"/>
          <w:sz w:val="28"/>
          <w:szCs w:val="28"/>
        </w:rPr>
      </w:pPr>
    </w:p>
    <w:p w14:paraId="57256356" w14:textId="77777777" w:rsidR="00A031A6" w:rsidRDefault="00A031A6">
      <w:pPr>
        <w:rPr>
          <w:rFonts w:ascii="Arial" w:eastAsia="Arial" w:hAnsi="Arial" w:cs="Arial"/>
          <w:b/>
          <w:color w:val="0070C0"/>
          <w:sz w:val="28"/>
          <w:szCs w:val="28"/>
        </w:rPr>
      </w:pPr>
    </w:p>
    <w:p w14:paraId="5060C996" w14:textId="77777777" w:rsidR="00A031A6" w:rsidRDefault="00A031A6">
      <w:pPr>
        <w:rPr>
          <w:rFonts w:ascii="Arial" w:eastAsia="Arial" w:hAnsi="Arial" w:cs="Arial"/>
          <w:b/>
          <w:color w:val="0070C0"/>
          <w:sz w:val="28"/>
          <w:szCs w:val="28"/>
        </w:rPr>
      </w:pPr>
    </w:p>
    <w:p w14:paraId="2C225630" w14:textId="77777777" w:rsidR="00A031A6" w:rsidRDefault="00A031A6">
      <w:pPr>
        <w:rPr>
          <w:rFonts w:ascii="Arial" w:eastAsia="Arial" w:hAnsi="Arial" w:cs="Arial"/>
          <w:b/>
          <w:color w:val="0070C0"/>
          <w:sz w:val="28"/>
          <w:szCs w:val="28"/>
        </w:rPr>
      </w:pPr>
    </w:p>
    <w:p w14:paraId="3C5128FC" w14:textId="77777777" w:rsidR="00A031A6" w:rsidRDefault="00A031A6">
      <w:pPr>
        <w:rPr>
          <w:rFonts w:ascii="Arial" w:eastAsia="Arial" w:hAnsi="Arial" w:cs="Arial"/>
          <w:b/>
          <w:color w:val="0070C0"/>
          <w:sz w:val="28"/>
          <w:szCs w:val="28"/>
        </w:rPr>
      </w:pPr>
    </w:p>
    <w:p w14:paraId="109E1235" w14:textId="77777777" w:rsidR="00A031A6" w:rsidRDefault="00A031A6">
      <w:pPr>
        <w:rPr>
          <w:rFonts w:ascii="Arial" w:eastAsia="Arial" w:hAnsi="Arial" w:cs="Arial"/>
          <w:b/>
          <w:color w:val="0070C0"/>
          <w:sz w:val="28"/>
          <w:szCs w:val="28"/>
        </w:rPr>
      </w:pPr>
    </w:p>
    <w:p w14:paraId="1B2D39BF" w14:textId="77777777" w:rsidR="00A031A6" w:rsidRDefault="00916FD0">
      <w:pPr>
        <w:pStyle w:val="Heading1"/>
        <w:numPr>
          <w:ilvl w:val="0"/>
          <w:numId w:val="36"/>
        </w:numPr>
      </w:pPr>
      <w:bookmarkStart w:id="133" w:name="_Toc62221452"/>
      <w:r>
        <w:t>Conclusion</w:t>
      </w:r>
      <w:bookmarkEnd w:id="133"/>
    </w:p>
    <w:p w14:paraId="310D1A9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lastRenderedPageBreak/>
        <w:t>Indonesia faces challenges as well as opportunities in its efforts to achieve SDG 7 and to transition its energy sector towards a low carbon future. The SDG 7 roadmap offers an integrated multisectoral plan to build on the existing plans and policies of Indonesia in achieving SDG 7 and NDC targets.</w:t>
      </w:r>
    </w:p>
    <w:p w14:paraId="5EC21AA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is progressing towards SDG 7, but more effort is needed to achieve the full suite of SDG 7 targets. The policy gap analysis suggests several areas where concerted efforts are needed to achieve these targets as well as to enable the achievement of Indonesia’s emissions reduction target under the Paris Agreement. Without well-designed and targeted policy measures, Indonesia will still have a large population that is continuing to cook with harmful fuels and technologies in 2030 and beyond.</w:t>
      </w:r>
    </w:p>
    <w:p w14:paraId="57844B0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In the current policy environment, Indonesia will fail to achieve its national renewable energy target as well as the NDC target unless a more rapid uptake of renewables ensues, mainly in the power sector but also in the industry and transport sectors. While the national energy intensity has been declining for the past decade, Indonesia will need to further strengthen its efforts to achieve the target and capitalise on the net financial gain offered by energy efficiency. </w:t>
      </w:r>
    </w:p>
    <w:p w14:paraId="09405D9D"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Looking further ahead, Indonesia has significant potential for raising its ambition and contributing more to the Paris Agreement by aligning its NDC target with the global 1.5</w:t>
      </w:r>
      <w:r>
        <w:rPr>
          <w:rFonts w:ascii="Arial" w:eastAsia="Arial" w:hAnsi="Arial" w:cs="Arial"/>
          <w:sz w:val="20"/>
          <w:szCs w:val="20"/>
          <w:vertAlign w:val="superscript"/>
        </w:rPr>
        <w:t>0</w:t>
      </w:r>
      <w:r>
        <w:rPr>
          <w:rFonts w:ascii="Arial" w:eastAsia="Arial" w:hAnsi="Arial" w:cs="Arial"/>
          <w:sz w:val="20"/>
          <w:szCs w:val="20"/>
        </w:rPr>
        <w:t xml:space="preserve">C pathway. Stopping new investment in coal-based power plants and widening the scope of energy efficiency through multisectoral measures will put Indonesia firmly on this track. Cheaper renewables are highly likely to pose risks to future investments in fossil fuel-based power plants, particularly coal-based generation, leading to stranded assets. Stopping new investment in coal would create an enabling business environment to lower risks and build market confidence. Elimination of fossil fuel subsidies and putting a price on carbon will level the playing field for renewables and help to reduce the investment gap as well as attract private investment and spur innovation. </w:t>
      </w:r>
    </w:p>
    <w:p w14:paraId="0553F760" w14:textId="77777777" w:rsidR="00A031A6" w:rsidRDefault="00916FD0">
      <w:pPr>
        <w:spacing w:after="240" w:line="360" w:lineRule="auto"/>
        <w:jc w:val="both"/>
        <w:rPr>
          <w:rFonts w:ascii="Arial" w:eastAsia="Arial" w:hAnsi="Arial" w:cs="Arial"/>
          <w:sz w:val="20"/>
          <w:szCs w:val="20"/>
        </w:rPr>
      </w:pPr>
      <w:r>
        <w:rPr>
          <w:rFonts w:ascii="Arial" w:eastAsia="Arial" w:hAnsi="Arial" w:cs="Arial"/>
          <w:sz w:val="20"/>
          <w:szCs w:val="20"/>
        </w:rPr>
        <w:t xml:space="preserve">Finally, the energy transition pathway presented in this SDG 7 roadmap will support rebuilding better after the COVID-19 pandemic. The proposed energy transition presents opportunities to reduce economic risks, both for public and private investment, and identifies areas for financial savings in the energy sector that can support the recovery of other critical sectors, such as the health sector. </w:t>
      </w:r>
    </w:p>
    <w:p w14:paraId="0145DF37" w14:textId="77777777" w:rsidR="00A031A6" w:rsidRDefault="00916FD0">
      <w:pPr>
        <w:rPr>
          <w:rFonts w:ascii="Arial" w:eastAsia="Arial" w:hAnsi="Arial" w:cs="Arial"/>
          <w:b/>
          <w:color w:val="0070C0"/>
          <w:sz w:val="28"/>
          <w:szCs w:val="28"/>
        </w:rPr>
      </w:pPr>
      <w:bookmarkStart w:id="134" w:name="_3u2rp3q" w:colFirst="0" w:colLast="0"/>
      <w:bookmarkEnd w:id="134"/>
      <w:r>
        <w:br w:type="page"/>
      </w:r>
    </w:p>
    <w:p w14:paraId="70910370" w14:textId="77777777" w:rsidR="00A031A6" w:rsidRDefault="00916FD0">
      <w:pPr>
        <w:pStyle w:val="Heading1"/>
        <w:ind w:left="3686" w:firstLine="0"/>
      </w:pPr>
      <w:bookmarkStart w:id="135" w:name="_Toc62221453"/>
      <w:r>
        <w:lastRenderedPageBreak/>
        <w:t>References</w:t>
      </w:r>
      <w:bookmarkEnd w:id="135"/>
    </w:p>
    <w:p w14:paraId="063DE451" w14:textId="77777777" w:rsidR="00A031A6" w:rsidRDefault="00916FD0">
      <w:pPr>
        <w:spacing w:after="120" w:line="276" w:lineRule="auto"/>
        <w:jc w:val="both"/>
        <w:rPr>
          <w:rFonts w:ascii="Arial" w:eastAsia="Arial" w:hAnsi="Arial" w:cs="Arial"/>
          <w:sz w:val="20"/>
          <w:szCs w:val="20"/>
        </w:rPr>
      </w:pPr>
      <w:bookmarkStart w:id="136" w:name="_odc9jc" w:colFirst="0" w:colLast="0"/>
      <w:bookmarkEnd w:id="136"/>
      <w:r>
        <w:rPr>
          <w:rFonts w:ascii="Arial" w:eastAsia="Arial" w:hAnsi="Arial" w:cs="Arial"/>
          <w:sz w:val="20"/>
          <w:szCs w:val="20"/>
        </w:rPr>
        <w:t xml:space="preserve">ADB (2016). Achieving Universal Energy Access in Indonesia. Manila. Available at </w:t>
      </w:r>
      <w:hyperlink r:id="rId43">
        <w:r>
          <w:rPr>
            <w:rFonts w:ascii="Arial" w:eastAsia="Arial" w:hAnsi="Arial" w:cs="Arial"/>
            <w:color w:val="0563C1"/>
            <w:sz w:val="20"/>
            <w:szCs w:val="20"/>
          </w:rPr>
          <w:t>https://www.adb.org/sites/default/files/publication/182314/achieving-electricity-access-ino.pdf.</w:t>
        </w:r>
      </w:hyperlink>
    </w:p>
    <w:p w14:paraId="0F6CA369" w14:textId="77777777"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______(2020). Indonesia’s Economic Growth to Slow in 2020 on COVID-19 Impact, but Gradual Recovery Expected in 2021. Manila. Available at </w:t>
      </w:r>
      <w:hyperlink r:id="rId44">
        <w:r>
          <w:rPr>
            <w:rFonts w:ascii="Arial" w:eastAsia="Arial" w:hAnsi="Arial" w:cs="Arial"/>
            <w:color w:val="0563C1"/>
            <w:sz w:val="20"/>
            <w:szCs w:val="20"/>
          </w:rPr>
          <w:t>https://www.adb.org/news/indonesia-s-economic-growth-slow-2020-covid-19-impact-gradual-recovery-expected-2021.</w:t>
        </w:r>
      </w:hyperlink>
    </w:p>
    <w:p w14:paraId="55C5BE85" w14:textId="77777777" w:rsidR="00A031A6" w:rsidRDefault="00916FD0">
      <w:pPr>
        <w:pBdr>
          <w:top w:val="nil"/>
          <w:left w:val="nil"/>
          <w:bottom w:val="nil"/>
          <w:right w:val="nil"/>
          <w:between w:val="nil"/>
        </w:pBdr>
        <w:spacing w:after="12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Asia-Pacific Energy Portal (2020). Available at </w:t>
      </w:r>
      <w:hyperlink r:id="rId45">
        <w:r>
          <w:rPr>
            <w:rFonts w:ascii="Arial" w:eastAsia="Arial" w:hAnsi="Arial" w:cs="Arial"/>
            <w:color w:val="0563C1"/>
            <w:sz w:val="20"/>
            <w:szCs w:val="20"/>
          </w:rPr>
          <w:t>https://asiapacificenergy.org/</w:t>
        </w:r>
      </w:hyperlink>
      <w:r>
        <w:rPr>
          <w:rFonts w:ascii="Arial" w:eastAsia="Arial" w:hAnsi="Arial" w:cs="Arial"/>
          <w:color w:val="000000"/>
          <w:sz w:val="20"/>
          <w:szCs w:val="20"/>
        </w:rPr>
        <w:t>.</w:t>
      </w:r>
    </w:p>
    <w:p w14:paraId="1E2AEA2E" w14:textId="77777777"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Climate Analytics (2019). </w:t>
      </w:r>
      <w:r>
        <w:rPr>
          <w:rFonts w:ascii="Arial" w:eastAsia="Arial" w:hAnsi="Arial" w:cs="Arial"/>
          <w:i/>
          <w:color w:val="000000"/>
          <w:sz w:val="20"/>
          <w:szCs w:val="20"/>
        </w:rPr>
        <w:t>Decarbonising South and South-East Asia</w:t>
      </w:r>
      <w:r>
        <w:rPr>
          <w:rFonts w:ascii="Arial" w:eastAsia="Arial" w:hAnsi="Arial" w:cs="Arial"/>
          <w:color w:val="000000"/>
          <w:sz w:val="20"/>
          <w:szCs w:val="20"/>
        </w:rPr>
        <w:t xml:space="preserve"> – Shifting energy supply in South Asia and South-East Asia to non-fossil fuel-based energy systems in line with the Paris Agreement long-term temperature goal and achievement of Sustainable Development Goals. Available at </w:t>
      </w:r>
      <w:hyperlink r:id="rId46">
        <w:r>
          <w:rPr>
            <w:rFonts w:ascii="Arial" w:eastAsia="Arial" w:hAnsi="Arial" w:cs="Arial"/>
            <w:color w:val="0563C1"/>
            <w:sz w:val="20"/>
            <w:szCs w:val="20"/>
          </w:rPr>
          <w:t>https://climateanalytics.org/media/decarbonisingasia2019-fullreport-climateanalytics.pdf</w:t>
        </w:r>
      </w:hyperlink>
      <w:r>
        <w:rPr>
          <w:rFonts w:ascii="Arial" w:eastAsia="Arial" w:hAnsi="Arial" w:cs="Arial"/>
          <w:color w:val="000000"/>
          <w:sz w:val="20"/>
          <w:szCs w:val="20"/>
        </w:rPr>
        <w:t>.</w:t>
      </w:r>
    </w:p>
    <w:p w14:paraId="6F66B5D5" w14:textId="77777777"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European Parliament (2015). The Impact of Biofuels on Transport and the Environment, and Their Connection with Agricultural Development in Europe. Brussels. Available at </w:t>
      </w:r>
      <w:hyperlink r:id="rId47">
        <w:r>
          <w:rPr>
            <w:rFonts w:ascii="Arial" w:eastAsia="Arial" w:hAnsi="Arial" w:cs="Arial"/>
            <w:color w:val="0563C1"/>
            <w:sz w:val="20"/>
            <w:szCs w:val="20"/>
          </w:rPr>
          <w:t>https://www.europarl.europa.eu/RegData/etudes/STUD/2015/513991/IPOL_STU(2015)513991_EN.pdf</w:t>
        </w:r>
      </w:hyperlink>
      <w:r>
        <w:rPr>
          <w:rFonts w:ascii="Arial" w:eastAsia="Arial" w:hAnsi="Arial" w:cs="Arial"/>
          <w:color w:val="000000"/>
          <w:sz w:val="20"/>
          <w:szCs w:val="20"/>
        </w:rPr>
        <w:t>.</w:t>
      </w:r>
    </w:p>
    <w:p w14:paraId="525AA563" w14:textId="77777777"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Government of Indonesia (2020). Third National Communication to the United Nations Framework Convention on Climate Change. 2020. Jakarta. Available at </w:t>
      </w:r>
      <w:hyperlink r:id="rId48">
        <w:r>
          <w:rPr>
            <w:rFonts w:ascii="Arial" w:eastAsia="Arial" w:hAnsi="Arial" w:cs="Arial"/>
            <w:color w:val="0563C1"/>
            <w:sz w:val="20"/>
            <w:szCs w:val="20"/>
          </w:rPr>
          <w:t>https://unfccc.int/sites/default/files/resource/8360571_Indonesia-NC3-2-Third%20National%20Communication%20-%20Indonesia%20-%20editorial%20refinement%2013022018.pdf</w:t>
        </w:r>
      </w:hyperlink>
      <w:r>
        <w:rPr>
          <w:rFonts w:ascii="Arial" w:eastAsia="Arial" w:hAnsi="Arial" w:cs="Arial"/>
          <w:color w:val="000000"/>
          <w:sz w:val="20"/>
          <w:szCs w:val="20"/>
        </w:rPr>
        <w:t>.</w:t>
      </w:r>
    </w:p>
    <w:p w14:paraId="7A87AE4A" w14:textId="77777777"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International Renewable Energy Agency (2020). Post COVID-19 Recovery – An Agenda for Resilience, Development and Equality. Masdar City, Abu Dhabi. Available at </w:t>
      </w:r>
      <w:hyperlink r:id="rId49">
        <w:r>
          <w:rPr>
            <w:rFonts w:ascii="Arial" w:eastAsia="Arial" w:hAnsi="Arial" w:cs="Arial"/>
            <w:color w:val="0563C1"/>
            <w:sz w:val="20"/>
            <w:szCs w:val="20"/>
          </w:rPr>
          <w:t>https://www.irena.org/publications/2020/Jun/Post-COVID-Recovery</w:t>
        </w:r>
      </w:hyperlink>
      <w:r>
        <w:rPr>
          <w:rFonts w:ascii="Arial" w:eastAsia="Arial" w:hAnsi="Arial" w:cs="Arial"/>
          <w:color w:val="000000"/>
          <w:sz w:val="20"/>
          <w:szCs w:val="20"/>
        </w:rPr>
        <w:t>.</w:t>
      </w:r>
    </w:p>
    <w:p w14:paraId="4236393B" w14:textId="77777777" w:rsidR="00A031A6" w:rsidRDefault="00916FD0">
      <w:pPr>
        <w:pBdr>
          <w:top w:val="nil"/>
          <w:left w:val="nil"/>
          <w:bottom w:val="nil"/>
          <w:right w:val="nil"/>
          <w:between w:val="nil"/>
        </w:pBdr>
        <w:spacing w:after="120" w:line="276" w:lineRule="auto"/>
        <w:ind w:left="266" w:hanging="266"/>
        <w:jc w:val="both"/>
        <w:rPr>
          <w:rFonts w:ascii="Arial" w:eastAsia="Arial" w:hAnsi="Arial" w:cs="Arial"/>
          <w:color w:val="000000"/>
          <w:sz w:val="20"/>
          <w:szCs w:val="20"/>
        </w:rPr>
      </w:pPr>
      <w:r>
        <w:rPr>
          <w:rFonts w:ascii="Arial" w:eastAsia="Arial" w:hAnsi="Arial" w:cs="Arial"/>
          <w:color w:val="000000"/>
          <w:sz w:val="20"/>
          <w:szCs w:val="20"/>
        </w:rPr>
        <w:t xml:space="preserve">Gerasimchuk, I., R. Bridle, T. Moerenhout, T. Laan, C. Charles and E. Asmelash (2013). </w:t>
      </w:r>
      <w:r>
        <w:rPr>
          <w:rFonts w:ascii="Arial" w:eastAsia="Arial" w:hAnsi="Arial" w:cs="Arial"/>
          <w:i/>
          <w:color w:val="000000"/>
          <w:sz w:val="20"/>
          <w:szCs w:val="20"/>
        </w:rPr>
        <w:t>Biofuels – At What Cost? A review of costs and benefits of EU biofuel policies.</w:t>
      </w:r>
      <w:r>
        <w:rPr>
          <w:rFonts w:ascii="Arial" w:eastAsia="Arial" w:hAnsi="Arial" w:cs="Arial"/>
          <w:color w:val="000000"/>
          <w:sz w:val="20"/>
          <w:szCs w:val="20"/>
        </w:rPr>
        <w:t xml:space="preserve"> Winnipeg, Canada: International Institute for Sustainable Development. Available at </w:t>
      </w:r>
      <w:hyperlink r:id="rId50">
        <w:r>
          <w:rPr>
            <w:rFonts w:ascii="Arial" w:eastAsia="Arial" w:hAnsi="Arial" w:cs="Arial"/>
            <w:color w:val="0563C1"/>
            <w:sz w:val="20"/>
            <w:szCs w:val="20"/>
          </w:rPr>
          <w:t>https://www.iisd.org/pdf/2008/indonesia_biofuels.pdf.</w:t>
        </w:r>
      </w:hyperlink>
    </w:p>
    <w:p w14:paraId="353E5916" w14:textId="77777777"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bookmarkStart w:id="137" w:name="_38czs75" w:colFirst="0" w:colLast="0"/>
      <w:bookmarkEnd w:id="137"/>
      <w:r>
        <w:rPr>
          <w:rFonts w:ascii="Arial" w:eastAsia="Arial" w:hAnsi="Arial" w:cs="Arial"/>
          <w:color w:val="000000"/>
          <w:sz w:val="20"/>
          <w:szCs w:val="20"/>
        </w:rPr>
        <w:t xml:space="preserve">Ministry of Energy and Mineral Resources (2018). </w:t>
      </w:r>
      <w:r>
        <w:rPr>
          <w:rFonts w:ascii="Arial" w:eastAsia="Arial" w:hAnsi="Arial" w:cs="Arial"/>
          <w:i/>
          <w:color w:val="000000"/>
          <w:sz w:val="20"/>
          <w:szCs w:val="20"/>
        </w:rPr>
        <w:t>Handbook of Energy &amp; Economic Statistics of Indonesia 2018</w:t>
      </w:r>
      <w:r>
        <w:rPr>
          <w:rFonts w:ascii="Arial" w:eastAsia="Arial" w:hAnsi="Arial" w:cs="Arial"/>
          <w:color w:val="000000"/>
          <w:sz w:val="20"/>
          <w:szCs w:val="20"/>
        </w:rPr>
        <w:t xml:space="preserve">. Jakarta. Available at </w:t>
      </w:r>
      <w:hyperlink r:id="rId51">
        <w:r>
          <w:rPr>
            <w:rFonts w:ascii="Arial" w:eastAsia="Arial" w:hAnsi="Arial" w:cs="Arial"/>
            <w:color w:val="0563C1"/>
            <w:sz w:val="20"/>
            <w:szCs w:val="20"/>
          </w:rPr>
          <w:t>https://www.esdm.go.id/assets/media/content/content-handbook-of-energy-and-economic-statistics-of-indonesia-2018-final-edition.pdf.</w:t>
        </w:r>
      </w:hyperlink>
    </w:p>
    <w:p w14:paraId="33EC73DD" w14:textId="77777777" w:rsidR="00A031A6" w:rsidRDefault="00916FD0">
      <w:pPr>
        <w:pBdr>
          <w:top w:val="nil"/>
          <w:left w:val="nil"/>
          <w:bottom w:val="nil"/>
          <w:right w:val="nil"/>
          <w:between w:val="nil"/>
        </w:pBdr>
        <w:spacing w:after="120" w:line="276" w:lineRule="auto"/>
        <w:ind w:left="294" w:hanging="294"/>
        <w:jc w:val="both"/>
        <w:rPr>
          <w:rFonts w:ascii="Arial" w:eastAsia="Arial" w:hAnsi="Arial" w:cs="Arial"/>
          <w:color w:val="000000"/>
          <w:sz w:val="20"/>
          <w:szCs w:val="20"/>
        </w:rPr>
      </w:pPr>
      <w:r>
        <w:rPr>
          <w:rFonts w:ascii="Arial" w:eastAsia="Arial" w:hAnsi="Arial" w:cs="Arial"/>
          <w:color w:val="000000"/>
          <w:sz w:val="20"/>
          <w:szCs w:val="20"/>
        </w:rPr>
        <w:t>_______ (2020). RUPTL</w:t>
      </w:r>
      <w:r>
        <w:rPr>
          <w:color w:val="000000"/>
        </w:rPr>
        <w:t xml:space="preserve"> E</w:t>
      </w:r>
      <w:r>
        <w:rPr>
          <w:rFonts w:ascii="Arial" w:eastAsia="Arial" w:hAnsi="Arial" w:cs="Arial"/>
          <w:color w:val="000000"/>
          <w:sz w:val="20"/>
          <w:szCs w:val="20"/>
        </w:rPr>
        <w:t xml:space="preserve">lectricity Supply Business Plan 2019-2028. Jakarta. Available at </w:t>
      </w:r>
      <w:hyperlink r:id="rId52">
        <w:r>
          <w:rPr>
            <w:rFonts w:ascii="Arial" w:eastAsia="Arial" w:hAnsi="Arial" w:cs="Arial"/>
            <w:color w:val="0563C1"/>
            <w:sz w:val="20"/>
            <w:szCs w:val="20"/>
          </w:rPr>
          <w:t>https://gatrik.esdm.go.id//assets/uploads/download_index/files/5b16d-kepmen-esdm-no.-39-k-20-mem-2019-tentang-pengesahan-ruptl-pt-pln-2019-2028.pdf</w:t>
        </w:r>
      </w:hyperlink>
      <w:r>
        <w:rPr>
          <w:rFonts w:ascii="Arial" w:eastAsia="Arial" w:hAnsi="Arial" w:cs="Arial"/>
          <w:color w:val="000000"/>
          <w:sz w:val="20"/>
          <w:szCs w:val="20"/>
        </w:rPr>
        <w:t>.</w:t>
      </w:r>
    </w:p>
    <w:p w14:paraId="1125BB15" w14:textId="77777777" w:rsidR="00A031A6" w:rsidRDefault="00916FD0">
      <w:pPr>
        <w:pBdr>
          <w:top w:val="nil"/>
          <w:left w:val="nil"/>
          <w:bottom w:val="nil"/>
          <w:right w:val="nil"/>
          <w:between w:val="nil"/>
        </w:pBdr>
        <w:spacing w:after="120" w:line="276" w:lineRule="auto"/>
        <w:ind w:left="294" w:hanging="294"/>
        <w:jc w:val="both"/>
        <w:rPr>
          <w:rFonts w:ascii="Arial" w:eastAsia="Arial" w:hAnsi="Arial" w:cs="Arial"/>
          <w:color w:val="000000"/>
          <w:sz w:val="20"/>
          <w:szCs w:val="20"/>
        </w:rPr>
      </w:pPr>
      <w:r>
        <w:rPr>
          <w:rFonts w:ascii="Arial" w:eastAsia="Arial" w:hAnsi="Arial" w:cs="Arial"/>
          <w:color w:val="000000"/>
          <w:sz w:val="20"/>
          <w:szCs w:val="20"/>
        </w:rPr>
        <w:t>National Energy Council (DEN) and Danish Energy Agency (2017). Technology Data for the Indonesian Power Sector: Catalogue for Generation and Storage of Electricity. Jakarta: Government of Indonesia.</w:t>
      </w:r>
    </w:p>
    <w:p w14:paraId="6F86C747" w14:textId="77777777" w:rsidR="00A031A6" w:rsidRDefault="00916FD0">
      <w:pPr>
        <w:pBdr>
          <w:top w:val="nil"/>
          <w:left w:val="nil"/>
          <w:bottom w:val="nil"/>
          <w:right w:val="nil"/>
          <w:between w:val="nil"/>
        </w:pBdr>
        <w:spacing w:after="120" w:line="276" w:lineRule="auto"/>
        <w:ind w:left="294" w:hanging="294"/>
        <w:jc w:val="both"/>
        <w:rPr>
          <w:rFonts w:ascii="Arial" w:eastAsia="Arial" w:hAnsi="Arial" w:cs="Arial"/>
          <w:color w:val="000000"/>
          <w:sz w:val="20"/>
          <w:szCs w:val="20"/>
        </w:rPr>
      </w:pPr>
      <w:bookmarkStart w:id="138" w:name="_1nia2ey" w:colFirst="0" w:colLast="0"/>
      <w:bookmarkEnd w:id="138"/>
      <w:r>
        <w:rPr>
          <w:rFonts w:ascii="Arial" w:eastAsia="Arial" w:hAnsi="Arial" w:cs="Arial"/>
          <w:color w:val="000000"/>
          <w:sz w:val="20"/>
          <w:szCs w:val="20"/>
        </w:rPr>
        <w:t xml:space="preserve">Neliti (2020). Percentage of Households by Province and Type of Cooking Fuel, 2001, 2007-2015. Available at </w:t>
      </w:r>
      <w:hyperlink r:id="rId53">
        <w:r>
          <w:rPr>
            <w:rFonts w:ascii="Arial" w:eastAsia="Arial" w:hAnsi="Arial" w:cs="Arial"/>
            <w:color w:val="0563C1"/>
            <w:sz w:val="20"/>
            <w:szCs w:val="20"/>
          </w:rPr>
          <w:t>https://www.neliti.com/publications/51275/percentage-of-households-by-province-and-type-of-cooking-fuel-2001-2007-2015</w:t>
        </w:r>
      </w:hyperlink>
      <w:r>
        <w:rPr>
          <w:rFonts w:ascii="Arial" w:eastAsia="Arial" w:hAnsi="Arial" w:cs="Arial"/>
          <w:color w:val="000000"/>
          <w:sz w:val="20"/>
          <w:szCs w:val="20"/>
        </w:rPr>
        <w:t>.</w:t>
      </w:r>
    </w:p>
    <w:p w14:paraId="2097E6E8" w14:textId="77777777" w:rsidR="00A031A6" w:rsidRDefault="00916FD0">
      <w:pPr>
        <w:pBdr>
          <w:top w:val="nil"/>
          <w:left w:val="nil"/>
          <w:bottom w:val="nil"/>
          <w:right w:val="nil"/>
          <w:between w:val="nil"/>
        </w:pBdr>
        <w:spacing w:after="120" w:line="276" w:lineRule="auto"/>
        <w:ind w:left="280" w:hanging="266"/>
        <w:jc w:val="both"/>
        <w:rPr>
          <w:rFonts w:ascii="Arial" w:eastAsia="Arial" w:hAnsi="Arial" w:cs="Arial"/>
          <w:color w:val="000000"/>
          <w:sz w:val="20"/>
          <w:szCs w:val="20"/>
        </w:rPr>
      </w:pPr>
      <w:r>
        <w:rPr>
          <w:rFonts w:ascii="Arial" w:eastAsia="Arial" w:hAnsi="Arial" w:cs="Arial"/>
          <w:color w:val="000000"/>
          <w:sz w:val="20"/>
          <w:szCs w:val="20"/>
        </w:rPr>
        <w:t xml:space="preserve">OECD (2019). Indonesia's Effort to Phase Out and Rationalise its Fossil Fuel Subsidies. Paris: Organisation for Economic Co-operation and Development. Available at </w:t>
      </w:r>
      <w:hyperlink r:id="rId54">
        <w:r>
          <w:rPr>
            <w:rFonts w:ascii="Arial" w:eastAsia="Arial" w:hAnsi="Arial" w:cs="Arial"/>
            <w:color w:val="0563C1"/>
            <w:sz w:val="20"/>
            <w:szCs w:val="20"/>
          </w:rPr>
          <w:t>https://unfccc.int/sites/default/files/resource/8360571_Indonesia-NC3-2-Third%20National%20 Communication%20-%20 Indonesia%20-%20 editorial%20 refinement%2013022018.pdf.</w:t>
        </w:r>
      </w:hyperlink>
    </w:p>
    <w:p w14:paraId="7E820C59" w14:textId="77777777" w:rsidR="00A031A6" w:rsidRDefault="00916FD0">
      <w:pPr>
        <w:pBdr>
          <w:top w:val="nil"/>
          <w:left w:val="nil"/>
          <w:bottom w:val="nil"/>
          <w:right w:val="nil"/>
          <w:between w:val="nil"/>
        </w:pBdr>
        <w:spacing w:after="120" w:line="276" w:lineRule="auto"/>
        <w:ind w:left="266" w:hanging="252"/>
        <w:jc w:val="both"/>
        <w:rPr>
          <w:rFonts w:ascii="Arial" w:eastAsia="Arial" w:hAnsi="Arial" w:cs="Arial"/>
          <w:color w:val="000000"/>
          <w:sz w:val="20"/>
          <w:szCs w:val="20"/>
        </w:rPr>
        <w:sectPr w:rsidR="00A031A6">
          <w:type w:val="continuous"/>
          <w:pgSz w:w="11906" w:h="16838"/>
          <w:pgMar w:top="851" w:right="1440" w:bottom="851" w:left="1440" w:header="709" w:footer="709" w:gutter="0"/>
          <w:cols w:space="720"/>
        </w:sectPr>
      </w:pPr>
      <w:r>
        <w:rPr>
          <w:rFonts w:ascii="Arial" w:eastAsia="Arial" w:hAnsi="Arial" w:cs="Arial"/>
          <w:color w:val="000000"/>
          <w:sz w:val="20"/>
          <w:szCs w:val="20"/>
        </w:rPr>
        <w:t xml:space="preserve">PLN (2019): Electricity Supply Business Plan (RUPTL) 2019-2028, Government of Indonesia, available at </w:t>
      </w:r>
      <w:hyperlink r:id="rId55">
        <w:r>
          <w:rPr>
            <w:rFonts w:ascii="Arial" w:eastAsia="Arial" w:hAnsi="Arial" w:cs="Arial"/>
            <w:color w:val="0563C1"/>
            <w:sz w:val="20"/>
            <w:szCs w:val="20"/>
          </w:rPr>
          <w:t>https://web.pln.co.id/stakeholder/ruptl.</w:t>
        </w:r>
      </w:hyperlink>
    </w:p>
    <w:p w14:paraId="5E20A9C4" w14:textId="77777777"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Ramstein, C., G. Dominioni, S. Ettehad, L. Lam and M. Quant (2019). State and Trends of Carbon Pricing 2019. Washington, D.C.: World Bank.</w:t>
      </w:r>
    </w:p>
    <w:p w14:paraId="261DB2B9" w14:textId="77777777" w:rsidR="00A031A6" w:rsidRDefault="00A031A6">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p>
    <w:p w14:paraId="5C5E39F9" w14:textId="77777777"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SDG7 Tracking Report (2020), Clean Cooking Chapter Available at </w:t>
      </w:r>
    </w:p>
    <w:p w14:paraId="25E2EC56" w14:textId="77777777" w:rsidR="00A031A6" w:rsidRDefault="00105476">
      <w:pPr>
        <w:pBdr>
          <w:top w:val="nil"/>
          <w:left w:val="nil"/>
          <w:bottom w:val="nil"/>
          <w:right w:val="nil"/>
          <w:between w:val="nil"/>
        </w:pBdr>
        <w:spacing w:after="120" w:line="276" w:lineRule="auto"/>
        <w:ind w:left="308" w:hanging="308"/>
        <w:jc w:val="both"/>
        <w:rPr>
          <w:rFonts w:ascii="Arial" w:eastAsia="Arial" w:hAnsi="Arial" w:cs="Arial"/>
          <w:color w:val="0563C1"/>
          <w:sz w:val="20"/>
          <w:szCs w:val="20"/>
        </w:rPr>
      </w:pPr>
      <w:hyperlink r:id="rId56">
        <w:r w:rsidR="00916FD0">
          <w:rPr>
            <w:rFonts w:ascii="Arial" w:eastAsia="Arial" w:hAnsi="Arial" w:cs="Arial"/>
            <w:color w:val="0563C1"/>
            <w:sz w:val="20"/>
            <w:szCs w:val="20"/>
          </w:rPr>
          <w:t>https://trackingsdg7.esmap.org/data/files/download-documents/03-sdg7-chapter2-accesstocleanfuelsandtech4cooking.pdf</w:t>
        </w:r>
      </w:hyperlink>
    </w:p>
    <w:p w14:paraId="0D9161C8" w14:textId="77777777" w:rsidR="00A031A6" w:rsidRDefault="00916FD0">
      <w:pPr>
        <w:pBdr>
          <w:top w:val="nil"/>
          <w:left w:val="nil"/>
          <w:bottom w:val="nil"/>
          <w:right w:val="nil"/>
          <w:between w:val="nil"/>
        </w:pBdr>
        <w:spacing w:after="120" w:line="276" w:lineRule="auto"/>
        <w:ind w:left="308" w:hanging="308"/>
        <w:jc w:val="both"/>
        <w:rPr>
          <w:rFonts w:ascii="Arial" w:eastAsia="Arial" w:hAnsi="Arial" w:cs="Arial"/>
          <w:color w:val="000000"/>
          <w:sz w:val="20"/>
          <w:szCs w:val="20"/>
        </w:rPr>
      </w:pPr>
      <w:r>
        <w:rPr>
          <w:color w:val="000000"/>
          <w:sz w:val="24"/>
          <w:szCs w:val="24"/>
        </w:rPr>
        <w:t>Th</w:t>
      </w:r>
      <w:r>
        <w:rPr>
          <w:rFonts w:ascii="Arial" w:eastAsia="Arial" w:hAnsi="Arial" w:cs="Arial"/>
          <w:i/>
          <w:color w:val="000000"/>
          <w:sz w:val="20"/>
          <w:szCs w:val="20"/>
        </w:rPr>
        <w:t>e Jakarta Post</w:t>
      </w:r>
      <w:r>
        <w:rPr>
          <w:rFonts w:ascii="Arial" w:eastAsia="Arial" w:hAnsi="Arial" w:cs="Arial"/>
          <w:color w:val="000000"/>
          <w:sz w:val="20"/>
          <w:szCs w:val="20"/>
        </w:rPr>
        <w:t xml:space="preserve"> (2020). Jokowi Announces Free Electricity, Discounts for Households Hardest Hit by COVID-19 Impacts, 1 April 2020. Jakarta. Available at </w:t>
      </w:r>
      <w:hyperlink r:id="rId57">
        <w:r>
          <w:rPr>
            <w:rFonts w:ascii="Arial" w:eastAsia="Arial" w:hAnsi="Arial" w:cs="Arial"/>
            <w:color w:val="0563C1"/>
            <w:sz w:val="20"/>
            <w:szCs w:val="20"/>
          </w:rPr>
          <w:t>https://www.thejakartapost.com/news/2020/03/31/jokowi-announces-free-electricity-discounts-for-households-hardest-hit-by-covid-19-impacts.html.</w:t>
        </w:r>
      </w:hyperlink>
    </w:p>
    <w:p w14:paraId="1D60F486" w14:textId="77777777" w:rsidR="00A031A6" w:rsidRDefault="00916FD0">
      <w:pPr>
        <w:pBdr>
          <w:top w:val="nil"/>
          <w:left w:val="nil"/>
          <w:bottom w:val="nil"/>
          <w:right w:val="nil"/>
          <w:between w:val="nil"/>
        </w:pBdr>
        <w:spacing w:after="120" w:line="276" w:lineRule="auto"/>
        <w:ind w:left="284" w:hanging="284"/>
        <w:jc w:val="both"/>
        <w:rPr>
          <w:rFonts w:ascii="Arial" w:eastAsia="Arial" w:hAnsi="Arial" w:cs="Arial"/>
          <w:color w:val="0563C1"/>
          <w:sz w:val="20"/>
          <w:szCs w:val="20"/>
        </w:rPr>
        <w:sectPr w:rsidR="00A031A6">
          <w:type w:val="continuous"/>
          <w:pgSz w:w="11906" w:h="16838"/>
          <w:pgMar w:top="1440" w:right="1440" w:bottom="1440" w:left="1440" w:header="708" w:footer="708" w:gutter="0"/>
          <w:cols w:space="720"/>
        </w:sectPr>
      </w:pPr>
      <w:r>
        <w:rPr>
          <w:rFonts w:ascii="Arial" w:eastAsia="Arial" w:hAnsi="Arial" w:cs="Arial"/>
          <w:color w:val="000000"/>
          <w:sz w:val="20"/>
          <w:szCs w:val="20"/>
        </w:rPr>
        <w:t xml:space="preserve">World Bank (2020). State and Trend of Carbon Pricing 2020, Washington, D.C. Available at </w:t>
      </w:r>
      <w:r>
        <w:fldChar w:fldCharType="begin"/>
      </w:r>
      <w:r>
        <w:instrText xml:space="preserve"> HYPERLINK "https://openknowledge.worldbank.org/bitstream/handle/10986/33809/9781464815867.pdf?sequence=4&amp;isAllowed=y" </w:instrText>
      </w:r>
      <w:r>
        <w:fldChar w:fldCharType="separate"/>
      </w:r>
      <w:r>
        <w:rPr>
          <w:rFonts w:ascii="Arial" w:eastAsia="Arial" w:hAnsi="Arial" w:cs="Arial"/>
          <w:color w:val="0563C1"/>
          <w:sz w:val="20"/>
          <w:szCs w:val="20"/>
        </w:rPr>
        <w:t>https://openknowledge.worldbank.org/bitstream/handle/10986/33809/9781464815867.pdf?sequence=4&amp;isAllowed=y.</w:t>
      </w:r>
    </w:p>
    <w:p w14:paraId="2B917B5E" w14:textId="77777777" w:rsidR="00A031A6" w:rsidRDefault="00916FD0">
      <w:pPr>
        <w:pBdr>
          <w:bottom w:val="single" w:sz="12" w:space="1" w:color="000000"/>
        </w:pBdr>
        <w:rPr>
          <w:b/>
          <w:i/>
          <w:sz w:val="24"/>
          <w:szCs w:val="24"/>
        </w:rPr>
        <w:sectPr w:rsidR="00A031A6">
          <w:type w:val="continuous"/>
          <w:pgSz w:w="11906" w:h="16838"/>
          <w:pgMar w:top="1440" w:right="1440" w:bottom="1440" w:left="1440" w:header="708" w:footer="708" w:gutter="0"/>
          <w:cols w:space="720"/>
        </w:sectPr>
      </w:pPr>
      <w:r>
        <w:fldChar w:fldCharType="end"/>
      </w:r>
    </w:p>
    <w:p w14:paraId="073691F4" w14:textId="77777777" w:rsidR="00A031A6" w:rsidRDefault="00A031A6">
      <w:pPr>
        <w:pStyle w:val="Heading1"/>
        <w:spacing w:after="0"/>
      </w:pPr>
      <w:bookmarkStart w:id="139" w:name="_47hxl2r" w:colFirst="0" w:colLast="0"/>
      <w:bookmarkEnd w:id="139"/>
    </w:p>
    <w:p w14:paraId="5389F815" w14:textId="77777777" w:rsidR="00A031A6" w:rsidRDefault="00A031A6">
      <w:pPr>
        <w:pStyle w:val="Heading1"/>
        <w:spacing w:after="0"/>
      </w:pPr>
    </w:p>
    <w:p w14:paraId="6EFF318A" w14:textId="77777777" w:rsidR="00A031A6" w:rsidRDefault="00A031A6">
      <w:pPr>
        <w:pStyle w:val="Heading1"/>
        <w:spacing w:after="0"/>
      </w:pPr>
    </w:p>
    <w:p w14:paraId="4F1C7B42" w14:textId="77777777" w:rsidR="00A031A6" w:rsidRDefault="00A031A6">
      <w:pPr>
        <w:pStyle w:val="Heading1"/>
        <w:spacing w:after="0"/>
      </w:pPr>
    </w:p>
    <w:p w14:paraId="12B18432" w14:textId="77777777" w:rsidR="00A031A6" w:rsidRDefault="00A031A6">
      <w:pPr>
        <w:pStyle w:val="Heading1"/>
        <w:spacing w:after="0"/>
      </w:pPr>
    </w:p>
    <w:p w14:paraId="3F293740" w14:textId="77777777" w:rsidR="00A031A6" w:rsidRDefault="00A031A6">
      <w:pPr>
        <w:pStyle w:val="Heading1"/>
        <w:spacing w:after="0"/>
      </w:pPr>
    </w:p>
    <w:p w14:paraId="2B3957DC" w14:textId="77777777" w:rsidR="00A031A6" w:rsidRDefault="00A031A6">
      <w:pPr>
        <w:pStyle w:val="Heading1"/>
        <w:spacing w:after="0"/>
      </w:pPr>
    </w:p>
    <w:p w14:paraId="51EC62F2" w14:textId="77777777" w:rsidR="00A031A6" w:rsidRDefault="00A031A6">
      <w:pPr>
        <w:pStyle w:val="Heading1"/>
        <w:spacing w:after="0"/>
      </w:pPr>
    </w:p>
    <w:p w14:paraId="749CB773" w14:textId="77777777" w:rsidR="00A031A6" w:rsidRDefault="00A031A6">
      <w:pPr>
        <w:pStyle w:val="Heading1"/>
        <w:spacing w:after="0"/>
      </w:pPr>
    </w:p>
    <w:p w14:paraId="3B36B94E" w14:textId="77777777" w:rsidR="00A031A6" w:rsidRDefault="00A031A6">
      <w:pPr>
        <w:pStyle w:val="Heading1"/>
        <w:spacing w:after="0"/>
      </w:pPr>
    </w:p>
    <w:p w14:paraId="3D6FA8FF" w14:textId="77777777" w:rsidR="00A031A6" w:rsidRDefault="00A031A6">
      <w:pPr>
        <w:pStyle w:val="Heading1"/>
        <w:spacing w:after="0"/>
      </w:pPr>
    </w:p>
    <w:p w14:paraId="7FB3194C" w14:textId="77777777" w:rsidR="00A031A6" w:rsidRDefault="00A031A6">
      <w:pPr>
        <w:pStyle w:val="Heading1"/>
        <w:spacing w:after="0"/>
      </w:pPr>
    </w:p>
    <w:p w14:paraId="14DE7093" w14:textId="77777777" w:rsidR="00A031A6" w:rsidRDefault="00A031A6">
      <w:pPr>
        <w:pStyle w:val="Heading1"/>
        <w:spacing w:after="0"/>
      </w:pPr>
    </w:p>
    <w:p w14:paraId="34916389" w14:textId="77777777" w:rsidR="00A031A6" w:rsidRDefault="00A031A6">
      <w:pPr>
        <w:pStyle w:val="Heading1"/>
        <w:spacing w:after="0"/>
      </w:pPr>
    </w:p>
    <w:p w14:paraId="48A45815" w14:textId="77777777" w:rsidR="00A031A6" w:rsidRDefault="00A031A6">
      <w:pPr>
        <w:pStyle w:val="Heading1"/>
        <w:spacing w:after="0"/>
      </w:pPr>
    </w:p>
    <w:p w14:paraId="63D40B3F" w14:textId="77777777" w:rsidR="00A031A6" w:rsidRDefault="00A031A6">
      <w:pPr>
        <w:pStyle w:val="Heading1"/>
        <w:spacing w:after="0"/>
      </w:pPr>
    </w:p>
    <w:p w14:paraId="58C0661F" w14:textId="77777777" w:rsidR="00A031A6" w:rsidRDefault="00A031A6">
      <w:pPr>
        <w:pStyle w:val="Heading1"/>
        <w:spacing w:after="0"/>
      </w:pPr>
    </w:p>
    <w:p w14:paraId="681AA53A" w14:textId="77777777" w:rsidR="00A031A6" w:rsidRDefault="00A031A6">
      <w:pPr>
        <w:pStyle w:val="Heading1"/>
        <w:spacing w:after="0"/>
      </w:pPr>
    </w:p>
    <w:p w14:paraId="61418679" w14:textId="77777777" w:rsidR="00A031A6" w:rsidRDefault="00A031A6">
      <w:pPr>
        <w:pStyle w:val="Heading1"/>
        <w:spacing w:after="0"/>
      </w:pPr>
    </w:p>
    <w:p w14:paraId="29D0B915" w14:textId="77777777" w:rsidR="00A031A6" w:rsidRDefault="00A031A6">
      <w:pPr>
        <w:pStyle w:val="Heading1"/>
        <w:spacing w:after="0"/>
      </w:pPr>
    </w:p>
    <w:p w14:paraId="47592E66" w14:textId="77777777" w:rsidR="00A031A6" w:rsidRDefault="00916FD0">
      <w:pPr>
        <w:pStyle w:val="Heading1"/>
        <w:rPr>
          <w:sz w:val="32"/>
          <w:szCs w:val="32"/>
        </w:rPr>
      </w:pPr>
      <w:bookmarkStart w:id="140" w:name="_Toc62221454"/>
      <w:r>
        <w:lastRenderedPageBreak/>
        <w:t>Annexes</w:t>
      </w:r>
      <w:bookmarkEnd w:id="140"/>
    </w:p>
    <w:p w14:paraId="4355DBBE" w14:textId="77777777" w:rsidR="00A031A6" w:rsidRDefault="00916FD0">
      <w:pPr>
        <w:pStyle w:val="Heading2"/>
        <w:numPr>
          <w:ilvl w:val="0"/>
          <w:numId w:val="13"/>
        </w:numPr>
      </w:pPr>
      <w:bookmarkStart w:id="141" w:name="_Toc62221455"/>
      <w:r>
        <w:t>National Expert SDG 7 Tool for Energy Planning Methodology</w:t>
      </w:r>
      <w:bookmarkEnd w:id="141"/>
    </w:p>
    <w:p w14:paraId="4FDBD5F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analysis presented in the national roadmap is based on the results from the National Expert SDG 7 Tool for Energy Planning (NEXSTEP) project. NEXSTEP is an integrated tool for assisting policymakers make informed policy decisions that would help achieve SDG 7 and NDC targets by 2030. The SDG 7 and NDC targets are integrated in the LEAP energy model and backcasted from 2030, since the targets for 2030 are already defined. </w:t>
      </w:r>
    </w:p>
    <w:p w14:paraId="3FABA185"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42" w:name="_3ls5o66" w:colFirst="0" w:colLast="0"/>
      <w:bookmarkEnd w:id="142"/>
      <w:r>
        <w:rPr>
          <w:rFonts w:ascii="Arial" w:eastAsia="Arial" w:hAnsi="Arial" w:cs="Arial"/>
          <w:b/>
          <w:color w:val="000000"/>
          <w:sz w:val="20"/>
          <w:szCs w:val="20"/>
        </w:rPr>
        <w:t>Table 8. Targets and indicators for SDG 7</w:t>
      </w:r>
    </w:p>
    <w:tbl>
      <w:tblPr>
        <w:tblStyle w:val="ab"/>
        <w:tblW w:w="9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2137"/>
        <w:gridCol w:w="2278"/>
        <w:gridCol w:w="2279"/>
      </w:tblGrid>
      <w:tr w:rsidR="00A031A6" w14:paraId="21BD4E45" w14:textId="77777777">
        <w:trPr>
          <w:trHeight w:val="451"/>
        </w:trPr>
        <w:tc>
          <w:tcPr>
            <w:tcW w:w="2416" w:type="dxa"/>
            <w:shd w:val="clear" w:color="auto" w:fill="808080"/>
            <w:vAlign w:val="center"/>
          </w:tcPr>
          <w:p w14:paraId="366047C7" w14:textId="77777777" w:rsidR="00A031A6" w:rsidRDefault="00916FD0">
            <w:pPr>
              <w:spacing w:before="120" w:line="360" w:lineRule="auto"/>
              <w:rPr>
                <w:rFonts w:ascii="Arial" w:eastAsia="Arial" w:hAnsi="Arial" w:cs="Arial"/>
                <w:b/>
                <w:color w:val="FFFFFF"/>
                <w:sz w:val="16"/>
                <w:szCs w:val="16"/>
              </w:rPr>
            </w:pPr>
            <w:r>
              <w:rPr>
                <w:rFonts w:ascii="Arial" w:eastAsia="Arial" w:hAnsi="Arial" w:cs="Arial"/>
                <w:b/>
                <w:color w:val="FFFFFF"/>
                <w:sz w:val="16"/>
                <w:szCs w:val="16"/>
              </w:rPr>
              <w:t>Target</w:t>
            </w:r>
          </w:p>
        </w:tc>
        <w:tc>
          <w:tcPr>
            <w:tcW w:w="2137" w:type="dxa"/>
            <w:shd w:val="clear" w:color="auto" w:fill="808080"/>
            <w:vAlign w:val="center"/>
          </w:tcPr>
          <w:p w14:paraId="26AE7CAE" w14:textId="77777777" w:rsidR="00A031A6" w:rsidRDefault="00916FD0">
            <w:pPr>
              <w:spacing w:before="120" w:line="360" w:lineRule="auto"/>
              <w:jc w:val="center"/>
              <w:rPr>
                <w:rFonts w:ascii="Arial" w:eastAsia="Arial" w:hAnsi="Arial" w:cs="Arial"/>
                <w:b/>
                <w:color w:val="FFFFFF"/>
                <w:sz w:val="16"/>
                <w:szCs w:val="16"/>
              </w:rPr>
            </w:pPr>
            <w:r>
              <w:rPr>
                <w:rFonts w:ascii="Arial" w:eastAsia="Arial" w:hAnsi="Arial" w:cs="Arial"/>
                <w:b/>
                <w:color w:val="FFFFFF"/>
                <w:sz w:val="16"/>
                <w:szCs w:val="16"/>
              </w:rPr>
              <w:t>Indicators</w:t>
            </w:r>
          </w:p>
        </w:tc>
        <w:tc>
          <w:tcPr>
            <w:tcW w:w="2278" w:type="dxa"/>
            <w:shd w:val="clear" w:color="auto" w:fill="808080"/>
            <w:vAlign w:val="center"/>
          </w:tcPr>
          <w:p w14:paraId="0EF1DB75" w14:textId="77777777" w:rsidR="00A031A6" w:rsidRDefault="00916FD0">
            <w:pPr>
              <w:spacing w:before="120" w:line="360" w:lineRule="auto"/>
              <w:jc w:val="center"/>
              <w:rPr>
                <w:rFonts w:ascii="Arial" w:eastAsia="Arial" w:hAnsi="Arial" w:cs="Arial"/>
                <w:b/>
                <w:color w:val="FFFFFF"/>
                <w:sz w:val="16"/>
                <w:szCs w:val="16"/>
              </w:rPr>
            </w:pPr>
            <w:r>
              <w:rPr>
                <w:rFonts w:ascii="Arial" w:eastAsia="Arial" w:hAnsi="Arial" w:cs="Arial"/>
                <w:b/>
                <w:color w:val="FFFFFF"/>
                <w:sz w:val="16"/>
                <w:szCs w:val="16"/>
              </w:rPr>
              <w:t>2018</w:t>
            </w:r>
          </w:p>
        </w:tc>
        <w:tc>
          <w:tcPr>
            <w:tcW w:w="2279" w:type="dxa"/>
            <w:shd w:val="clear" w:color="auto" w:fill="808080"/>
            <w:vAlign w:val="center"/>
          </w:tcPr>
          <w:p w14:paraId="6F7CCC7A" w14:textId="77777777" w:rsidR="00A031A6" w:rsidRDefault="00916FD0">
            <w:pPr>
              <w:spacing w:before="120" w:line="360" w:lineRule="auto"/>
              <w:jc w:val="center"/>
              <w:rPr>
                <w:rFonts w:ascii="Arial" w:eastAsia="Arial" w:hAnsi="Arial" w:cs="Arial"/>
                <w:b/>
                <w:color w:val="FFFFFF"/>
                <w:sz w:val="16"/>
                <w:szCs w:val="16"/>
              </w:rPr>
            </w:pPr>
            <w:r>
              <w:rPr>
                <w:rFonts w:ascii="Arial" w:eastAsia="Arial" w:hAnsi="Arial" w:cs="Arial"/>
                <w:b/>
                <w:color w:val="FFFFFF"/>
                <w:sz w:val="16"/>
                <w:szCs w:val="16"/>
              </w:rPr>
              <w:t>2030</w:t>
            </w:r>
          </w:p>
        </w:tc>
      </w:tr>
      <w:tr w:rsidR="00A031A6" w14:paraId="73C3505D" w14:textId="77777777">
        <w:trPr>
          <w:trHeight w:val="903"/>
        </w:trPr>
        <w:tc>
          <w:tcPr>
            <w:tcW w:w="2416" w:type="dxa"/>
            <w:vMerge w:val="restart"/>
            <w:vAlign w:val="center"/>
          </w:tcPr>
          <w:p w14:paraId="767080E8" w14:textId="77777777" w:rsidR="00A031A6" w:rsidRDefault="00916FD0">
            <w:pPr>
              <w:spacing w:line="360" w:lineRule="auto"/>
              <w:rPr>
                <w:rFonts w:ascii="Arial" w:eastAsia="Arial" w:hAnsi="Arial" w:cs="Arial"/>
                <w:sz w:val="16"/>
                <w:szCs w:val="16"/>
              </w:rPr>
            </w:pPr>
            <w:r>
              <w:rPr>
                <w:rFonts w:ascii="Arial" w:eastAsia="Arial" w:hAnsi="Arial" w:cs="Arial"/>
                <w:sz w:val="16"/>
                <w:szCs w:val="16"/>
              </w:rPr>
              <w:t>7.1.</w:t>
            </w:r>
            <w:r>
              <w:rPr>
                <w:sz w:val="16"/>
                <w:szCs w:val="16"/>
              </w:rPr>
              <w:t xml:space="preserve"> </w:t>
            </w:r>
            <w:r>
              <w:rPr>
                <w:rFonts w:ascii="Arial" w:eastAsia="Arial" w:hAnsi="Arial" w:cs="Arial"/>
                <w:sz w:val="16"/>
                <w:szCs w:val="16"/>
              </w:rPr>
              <w:t>By 2030, ensure universal access to affordable, reliable, and modern energy services.</w:t>
            </w:r>
          </w:p>
        </w:tc>
        <w:tc>
          <w:tcPr>
            <w:tcW w:w="2137" w:type="dxa"/>
            <w:vAlign w:val="center"/>
          </w:tcPr>
          <w:p w14:paraId="550E4E4C" w14:textId="77777777"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7.1.1. Proportion of population with access to electricity.</w:t>
            </w:r>
          </w:p>
        </w:tc>
        <w:tc>
          <w:tcPr>
            <w:tcW w:w="2278" w:type="dxa"/>
            <w:vAlign w:val="center"/>
          </w:tcPr>
          <w:p w14:paraId="20DEA9EE"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98.3%</w:t>
            </w:r>
          </w:p>
        </w:tc>
        <w:tc>
          <w:tcPr>
            <w:tcW w:w="2279" w:type="dxa"/>
            <w:vAlign w:val="center"/>
          </w:tcPr>
          <w:p w14:paraId="1929CDA7"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100%</w:t>
            </w:r>
          </w:p>
        </w:tc>
      </w:tr>
      <w:tr w:rsidR="00A031A6" w14:paraId="569167C6" w14:textId="77777777">
        <w:trPr>
          <w:trHeight w:val="903"/>
        </w:trPr>
        <w:tc>
          <w:tcPr>
            <w:tcW w:w="2416" w:type="dxa"/>
            <w:vMerge/>
            <w:vAlign w:val="center"/>
          </w:tcPr>
          <w:p w14:paraId="26EEF1AE" w14:textId="77777777" w:rsidR="00A031A6" w:rsidRDefault="00A031A6">
            <w:pPr>
              <w:widowControl w:val="0"/>
              <w:pBdr>
                <w:top w:val="nil"/>
                <w:left w:val="nil"/>
                <w:bottom w:val="nil"/>
                <w:right w:val="nil"/>
                <w:between w:val="nil"/>
              </w:pBdr>
              <w:spacing w:line="276" w:lineRule="auto"/>
              <w:jc w:val="left"/>
              <w:rPr>
                <w:rFonts w:ascii="Arial" w:eastAsia="Arial" w:hAnsi="Arial" w:cs="Arial"/>
                <w:sz w:val="16"/>
                <w:szCs w:val="16"/>
              </w:rPr>
            </w:pPr>
          </w:p>
        </w:tc>
        <w:tc>
          <w:tcPr>
            <w:tcW w:w="2137" w:type="dxa"/>
            <w:vAlign w:val="center"/>
          </w:tcPr>
          <w:p w14:paraId="37BA5749" w14:textId="77777777"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7.1.2. Proportion of population with primary reliance on clean fuels and technology for cooking.</w:t>
            </w:r>
          </w:p>
        </w:tc>
        <w:tc>
          <w:tcPr>
            <w:tcW w:w="2278" w:type="dxa"/>
            <w:vAlign w:val="center"/>
          </w:tcPr>
          <w:p w14:paraId="02B35268" w14:textId="77777777" w:rsidR="00A031A6" w:rsidRDefault="00916FD0">
            <w:pPr>
              <w:jc w:val="center"/>
              <w:rPr>
                <w:rFonts w:ascii="Arial" w:eastAsia="Arial" w:hAnsi="Arial" w:cs="Arial"/>
                <w:sz w:val="16"/>
                <w:szCs w:val="16"/>
              </w:rPr>
            </w:pPr>
            <w:r>
              <w:rPr>
                <w:rFonts w:ascii="Arial" w:eastAsia="Arial" w:hAnsi="Arial" w:cs="Arial"/>
                <w:sz w:val="16"/>
                <w:szCs w:val="16"/>
              </w:rPr>
              <w:t>80%</w:t>
            </w:r>
          </w:p>
        </w:tc>
        <w:tc>
          <w:tcPr>
            <w:tcW w:w="2279" w:type="dxa"/>
            <w:vAlign w:val="center"/>
          </w:tcPr>
          <w:p w14:paraId="346D0CD0"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100%</w:t>
            </w:r>
          </w:p>
        </w:tc>
      </w:tr>
      <w:tr w:rsidR="00A031A6" w14:paraId="1D5342B1" w14:textId="77777777">
        <w:trPr>
          <w:trHeight w:val="1078"/>
        </w:trPr>
        <w:tc>
          <w:tcPr>
            <w:tcW w:w="2416" w:type="dxa"/>
            <w:vAlign w:val="center"/>
          </w:tcPr>
          <w:p w14:paraId="2346EA1A" w14:textId="77777777"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7.2. By 2030, increase substantially the share of renewable energy in the global energy mix.</w:t>
            </w:r>
          </w:p>
        </w:tc>
        <w:tc>
          <w:tcPr>
            <w:tcW w:w="2137" w:type="dxa"/>
            <w:vAlign w:val="center"/>
          </w:tcPr>
          <w:p w14:paraId="728FB2BF" w14:textId="77777777" w:rsidR="00A031A6" w:rsidRDefault="00916FD0">
            <w:pPr>
              <w:spacing w:line="360" w:lineRule="auto"/>
              <w:rPr>
                <w:rFonts w:ascii="Arial" w:eastAsia="Arial" w:hAnsi="Arial" w:cs="Arial"/>
                <w:sz w:val="16"/>
                <w:szCs w:val="16"/>
              </w:rPr>
            </w:pPr>
            <w:r>
              <w:rPr>
                <w:rFonts w:ascii="Arial" w:eastAsia="Arial" w:hAnsi="Arial" w:cs="Arial"/>
                <w:sz w:val="16"/>
                <w:szCs w:val="16"/>
              </w:rPr>
              <w:t>7.2.1. Renewable energy share in total final energy consumption.</w:t>
            </w:r>
          </w:p>
        </w:tc>
        <w:tc>
          <w:tcPr>
            <w:tcW w:w="2278" w:type="dxa"/>
            <w:vAlign w:val="center"/>
          </w:tcPr>
          <w:p w14:paraId="0DC93849"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11.2%</w:t>
            </w:r>
          </w:p>
        </w:tc>
        <w:tc>
          <w:tcPr>
            <w:tcW w:w="2279" w:type="dxa"/>
            <w:vAlign w:val="center"/>
          </w:tcPr>
          <w:p w14:paraId="7B80F566" w14:textId="77777777" w:rsidR="00A031A6" w:rsidRDefault="00916FD0">
            <w:pPr>
              <w:tabs>
                <w:tab w:val="left" w:pos="525"/>
                <w:tab w:val="center" w:pos="1033"/>
              </w:tabs>
              <w:spacing w:line="360" w:lineRule="auto"/>
              <w:jc w:val="center"/>
              <w:rPr>
                <w:rFonts w:ascii="Arial" w:eastAsia="Arial" w:hAnsi="Arial" w:cs="Arial"/>
                <w:sz w:val="16"/>
                <w:szCs w:val="16"/>
              </w:rPr>
            </w:pPr>
            <w:r>
              <w:rPr>
                <w:rFonts w:ascii="Arial" w:eastAsia="Arial" w:hAnsi="Arial" w:cs="Arial"/>
                <w:sz w:val="16"/>
                <w:szCs w:val="16"/>
              </w:rPr>
              <w:t>22%</w:t>
            </w:r>
          </w:p>
        </w:tc>
      </w:tr>
      <w:tr w:rsidR="00A031A6" w14:paraId="65C5754B" w14:textId="77777777">
        <w:trPr>
          <w:trHeight w:val="903"/>
        </w:trPr>
        <w:tc>
          <w:tcPr>
            <w:tcW w:w="2416" w:type="dxa"/>
            <w:vAlign w:val="center"/>
          </w:tcPr>
          <w:p w14:paraId="1E3244DD" w14:textId="77777777" w:rsidR="00A031A6" w:rsidRDefault="00916FD0">
            <w:pPr>
              <w:spacing w:before="120" w:after="120" w:line="360" w:lineRule="auto"/>
              <w:rPr>
                <w:rFonts w:ascii="Arial" w:eastAsia="Arial" w:hAnsi="Arial" w:cs="Arial"/>
                <w:sz w:val="16"/>
                <w:szCs w:val="16"/>
              </w:rPr>
            </w:pPr>
            <w:r>
              <w:rPr>
                <w:rFonts w:ascii="Arial" w:eastAsia="Arial" w:hAnsi="Arial" w:cs="Arial"/>
                <w:sz w:val="16"/>
                <w:szCs w:val="16"/>
              </w:rPr>
              <w:t>7.3. By 2030, double the global rate of improvement in energy efficiency.</w:t>
            </w:r>
          </w:p>
        </w:tc>
        <w:tc>
          <w:tcPr>
            <w:tcW w:w="2137" w:type="dxa"/>
            <w:vAlign w:val="center"/>
          </w:tcPr>
          <w:p w14:paraId="09888D7B" w14:textId="77777777" w:rsidR="00A031A6" w:rsidRDefault="00916FD0">
            <w:pPr>
              <w:spacing w:before="240" w:after="120" w:line="360" w:lineRule="auto"/>
              <w:rPr>
                <w:rFonts w:ascii="Arial" w:eastAsia="Arial" w:hAnsi="Arial" w:cs="Arial"/>
                <w:sz w:val="16"/>
                <w:szCs w:val="16"/>
              </w:rPr>
            </w:pPr>
            <w:r>
              <w:rPr>
                <w:rFonts w:ascii="Arial" w:eastAsia="Arial" w:hAnsi="Arial" w:cs="Arial"/>
                <w:sz w:val="16"/>
                <w:szCs w:val="16"/>
              </w:rPr>
              <w:t>7.3.1. Energy intensity measured as a ratio of primary energy supply to gross domestic product.</w:t>
            </w:r>
          </w:p>
        </w:tc>
        <w:tc>
          <w:tcPr>
            <w:tcW w:w="2278" w:type="dxa"/>
            <w:vAlign w:val="center"/>
          </w:tcPr>
          <w:p w14:paraId="56A86E31"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2.87 MJ/US$ (2011) PPP</w:t>
            </w:r>
          </w:p>
        </w:tc>
        <w:tc>
          <w:tcPr>
            <w:tcW w:w="2279" w:type="dxa"/>
            <w:vAlign w:val="center"/>
          </w:tcPr>
          <w:p w14:paraId="169824B8"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2.39 MJ/US$ (2011) PPP</w:t>
            </w:r>
          </w:p>
        </w:tc>
      </w:tr>
      <w:tr w:rsidR="00A031A6" w14:paraId="08EEECDB" w14:textId="77777777">
        <w:trPr>
          <w:trHeight w:val="903"/>
        </w:trPr>
        <w:tc>
          <w:tcPr>
            <w:tcW w:w="2416" w:type="dxa"/>
            <w:vAlign w:val="center"/>
          </w:tcPr>
          <w:p w14:paraId="63319EE7" w14:textId="77777777" w:rsidR="00A031A6" w:rsidRDefault="00916FD0">
            <w:pPr>
              <w:spacing w:before="120" w:line="360" w:lineRule="auto"/>
              <w:rPr>
                <w:rFonts w:ascii="Arial" w:eastAsia="Arial" w:hAnsi="Arial" w:cs="Arial"/>
                <w:sz w:val="16"/>
                <w:szCs w:val="16"/>
              </w:rPr>
            </w:pPr>
            <w:r>
              <w:rPr>
                <w:rFonts w:ascii="Arial" w:eastAsia="Arial" w:hAnsi="Arial" w:cs="Arial"/>
                <w:sz w:val="16"/>
                <w:szCs w:val="16"/>
              </w:rPr>
              <w:t>7. A. By 2030, enhance international cooperation to facilitate access to clean energy research and technology, including renewable energy, energy efficiency, and advanced and cleaner fossil fuel technology, and promote investment in energy infrastructure and clean energy technology.</w:t>
            </w:r>
          </w:p>
        </w:tc>
        <w:tc>
          <w:tcPr>
            <w:tcW w:w="2137" w:type="dxa"/>
            <w:vAlign w:val="center"/>
          </w:tcPr>
          <w:p w14:paraId="01A9E9E6" w14:textId="77777777" w:rsidR="00A031A6" w:rsidRDefault="00916FD0">
            <w:pPr>
              <w:spacing w:line="360" w:lineRule="auto"/>
              <w:rPr>
                <w:rFonts w:ascii="Arial" w:eastAsia="Arial" w:hAnsi="Arial" w:cs="Arial"/>
                <w:sz w:val="16"/>
                <w:szCs w:val="16"/>
              </w:rPr>
            </w:pPr>
            <w:r>
              <w:rPr>
                <w:rFonts w:ascii="Arial" w:eastAsia="Arial" w:hAnsi="Arial" w:cs="Arial"/>
                <w:sz w:val="16"/>
                <w:szCs w:val="16"/>
              </w:rPr>
              <w:t>7.A.1. International financial flows to developing countries in support of clean energy research, and development and renewable energy production, including in hybrid systems.</w:t>
            </w:r>
          </w:p>
        </w:tc>
        <w:tc>
          <w:tcPr>
            <w:tcW w:w="2278" w:type="dxa"/>
            <w:vAlign w:val="center"/>
          </w:tcPr>
          <w:p w14:paraId="6E7ED832"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414. US$ 1 million, 2017 PPP (2017 data)</w:t>
            </w:r>
          </w:p>
        </w:tc>
        <w:tc>
          <w:tcPr>
            <w:tcW w:w="2279" w:type="dxa"/>
            <w:vAlign w:val="center"/>
          </w:tcPr>
          <w:p w14:paraId="1338E67C" w14:textId="77777777" w:rsidR="00A031A6" w:rsidRDefault="00916FD0">
            <w:pPr>
              <w:spacing w:line="360" w:lineRule="auto"/>
              <w:jc w:val="center"/>
              <w:rPr>
                <w:rFonts w:ascii="Arial" w:eastAsia="Arial" w:hAnsi="Arial" w:cs="Arial"/>
                <w:sz w:val="16"/>
                <w:szCs w:val="16"/>
              </w:rPr>
            </w:pPr>
            <w:r>
              <w:rPr>
                <w:rFonts w:ascii="Arial" w:eastAsia="Arial" w:hAnsi="Arial" w:cs="Arial"/>
                <w:sz w:val="16"/>
                <w:szCs w:val="16"/>
              </w:rPr>
              <w:t>n.a.</w:t>
            </w:r>
          </w:p>
        </w:tc>
      </w:tr>
    </w:tbl>
    <w:p w14:paraId="51013DD0" w14:textId="77777777" w:rsidR="00A031A6" w:rsidRDefault="00A031A6">
      <w:pPr>
        <w:spacing w:line="360" w:lineRule="auto"/>
        <w:jc w:val="both"/>
        <w:rPr>
          <w:rFonts w:ascii="Arial" w:eastAsia="Arial" w:hAnsi="Arial" w:cs="Arial"/>
          <w:sz w:val="20"/>
          <w:szCs w:val="20"/>
        </w:rPr>
      </w:pPr>
    </w:p>
    <w:p w14:paraId="37AD2D81" w14:textId="77777777" w:rsidR="00A031A6" w:rsidRDefault="00916FD0">
      <w:pPr>
        <w:spacing w:line="360" w:lineRule="auto"/>
        <w:jc w:val="both"/>
        <w:rPr>
          <w:rFonts w:ascii="Arial" w:eastAsia="Arial" w:hAnsi="Arial" w:cs="Arial"/>
          <w:sz w:val="20"/>
          <w:szCs w:val="20"/>
        </w:rPr>
      </w:pPr>
      <w:r>
        <w:rPr>
          <w:rFonts w:ascii="Arial" w:eastAsia="Arial" w:hAnsi="Arial" w:cs="Arial"/>
          <w:b/>
          <w:sz w:val="20"/>
          <w:szCs w:val="20"/>
        </w:rPr>
        <w:t>SDG 7.3. Energy Efficiency.</w:t>
      </w:r>
      <w:r>
        <w:rPr>
          <w:rFonts w:ascii="Arial" w:eastAsia="Arial" w:hAnsi="Arial" w:cs="Arial"/>
          <w:sz w:val="20"/>
          <w:szCs w:val="20"/>
        </w:rPr>
        <w:t xml:space="preserve">  “By 2030, double the global rate of improvement in energy efficiency”, as measured by the energy intensity of the economy. This is the ratio of the total primary energy supply (TPES) and GDP. Energy intensity is an indication of how much energy is used to produce one unit of </w:t>
      </w:r>
      <w:r>
        <w:rPr>
          <w:rFonts w:ascii="Arial" w:eastAsia="Arial" w:hAnsi="Arial" w:cs="Arial"/>
          <w:sz w:val="20"/>
          <w:szCs w:val="20"/>
        </w:rPr>
        <w:lastRenderedPageBreak/>
        <w:t xml:space="preserve">economic output. As defined by the IEA, TPES is made up of production plus net imports minus international marine and aviation bunkers plus stock changes. For comparison purposes, GDP is measured in constant terms at 2011 PPP. </w:t>
      </w:r>
    </w:p>
    <w:p w14:paraId="09B778A5" w14:textId="77777777" w:rsidR="00A031A6" w:rsidRDefault="00916FD0">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Primary energy intensity=</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Total Primary Energy Supply (MJ)</m:t>
              </m:r>
            </m:num>
            <m:den>
              <m:r>
                <w:rPr>
                  <w:rFonts w:ascii="Cambria Math" w:eastAsia="Cambria Math" w:hAnsi="Cambria Math" w:cs="Cambria Math"/>
                  <w:sz w:val="18"/>
                  <w:szCs w:val="18"/>
                </w:rPr>
                <m:t>GDP (USD 2011 PPP)</m:t>
              </m:r>
            </m:den>
          </m:f>
        </m:oMath>
      </m:oMathPara>
    </w:p>
    <w:p w14:paraId="5E9C100E" w14:textId="77777777" w:rsidR="00A031A6" w:rsidRDefault="00916FD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CAGR= </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t2</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t1</m:t>
                          </m:r>
                        </m:sub>
                      </m:sSub>
                    </m:den>
                  </m:f>
                </m:e>
              </m:d>
            </m:e>
            <m:sup>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(t2-t1)</m:t>
                  </m:r>
                </m:den>
              </m:f>
            </m:sup>
          </m:sSup>
          <m:r>
            <w:rPr>
              <w:rFonts w:ascii="Cambria Math" w:eastAsia="Cambria Math" w:hAnsi="Cambria Math" w:cs="Cambria Math"/>
              <w:sz w:val="20"/>
              <w:szCs w:val="20"/>
            </w:rPr>
            <m:t>-1</m:t>
          </m:r>
        </m:oMath>
      </m:oMathPara>
    </w:p>
    <w:p w14:paraId="2420D92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where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t1</m:t>
            </m:r>
          </m:sub>
        </m:sSub>
      </m:oMath>
      <w:r>
        <w:rPr>
          <w:rFonts w:ascii="Arial" w:eastAsia="Arial" w:hAnsi="Arial" w:cs="Arial"/>
          <w:sz w:val="20"/>
          <w:szCs w:val="20"/>
        </w:rPr>
        <w:t xml:space="preserve"> is Energy intensity in year t1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EI</m:t>
            </m:r>
          </m:e>
          <m:sub>
            <m:r>
              <w:rPr>
                <w:rFonts w:ascii="Cambria Math" w:eastAsia="Cambria Math" w:hAnsi="Cambria Math" w:cs="Cambria Math"/>
                <w:sz w:val="20"/>
                <w:szCs w:val="20"/>
              </w:rPr>
              <m:t>t2</m:t>
            </m:r>
          </m:sub>
        </m:sSub>
      </m:oMath>
      <w:r>
        <w:rPr>
          <w:rFonts w:ascii="Arial" w:eastAsia="Arial" w:hAnsi="Arial" w:cs="Arial"/>
          <w:sz w:val="20"/>
          <w:szCs w:val="20"/>
        </w:rPr>
        <w:t xml:space="preserve"> is energy intensity in year t2</w:t>
      </w:r>
    </w:p>
    <w:p w14:paraId="1B38895D"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 period improvement rate for Indonesia (1990 – 2010): 0.76 per cent</w:t>
      </w:r>
    </w:p>
    <w:p w14:paraId="62FA6B7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SDG 7.3 improvement rate for Indonesia: 1.53 per cent</w:t>
      </w:r>
    </w:p>
    <w:p w14:paraId="3BFA3E74" w14:textId="77777777" w:rsidR="00A031A6" w:rsidRDefault="00916FD0">
      <w:pPr>
        <w:spacing w:line="360" w:lineRule="auto"/>
        <w:jc w:val="both"/>
        <w:rPr>
          <w:rFonts w:ascii="Arial" w:eastAsia="Arial" w:hAnsi="Arial" w:cs="Arial"/>
          <w:b/>
          <w:sz w:val="20"/>
          <w:szCs w:val="20"/>
        </w:rPr>
      </w:pPr>
      <w:r>
        <w:rPr>
          <w:rFonts w:ascii="Arial" w:eastAsia="Arial" w:hAnsi="Arial" w:cs="Arial"/>
          <w:b/>
          <w:sz w:val="20"/>
          <w:szCs w:val="20"/>
        </w:rPr>
        <w:t xml:space="preserve">SDG 7.2. Renewable Energy </w:t>
      </w:r>
    </w:p>
    <w:p w14:paraId="0A3AA9C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share in total final energy consumption is increased to meet NDC emission requirements by 2030.</w:t>
      </w:r>
    </w:p>
    <w:p w14:paraId="079015A2" w14:textId="77777777" w:rsidR="00A031A6" w:rsidRDefault="00916FD0">
      <w:pPr>
        <w:tabs>
          <w:tab w:val="left" w:pos="1875"/>
        </w:tabs>
        <w:spacing w:line="360" w:lineRule="auto"/>
        <w:jc w:val="both"/>
        <w:rPr>
          <w:rFonts w:ascii="Arial" w:eastAsia="Arial" w:hAnsi="Arial" w:cs="Arial"/>
          <w:sz w:val="20"/>
          <w:szCs w:val="20"/>
        </w:rPr>
      </w:pPr>
      <w:r>
        <w:rPr>
          <w:rFonts w:ascii="Arial" w:eastAsia="Arial" w:hAnsi="Arial" w:cs="Arial"/>
          <w:i/>
          <w:sz w:val="20"/>
          <w:szCs w:val="20"/>
        </w:rPr>
        <w:t>Methodology</w:t>
      </w:r>
      <w:r>
        <w:rPr>
          <w:rFonts w:ascii="Arial" w:eastAsia="Arial" w:hAnsi="Arial" w:cs="Arial"/>
          <w:sz w:val="20"/>
          <w:szCs w:val="20"/>
        </w:rPr>
        <w:t>: Share of renewable energy in Total final energy consumption, where TFEC is Total final energy consumption, ELEC is gross electricity production and HEAT is gross heat production.</w:t>
      </w:r>
    </w:p>
    <w:p w14:paraId="3D9A8F44" w14:textId="77777777" w:rsidR="00A031A6" w:rsidRDefault="00916FD0">
      <w:pPr>
        <w:tabs>
          <w:tab w:val="left" w:pos="1875"/>
        </w:tabs>
        <w:spacing w:line="360" w:lineRule="auto"/>
        <w:jc w:val="both"/>
        <w:rPr>
          <w:rFonts w:ascii="Arial" w:eastAsia="Arial" w:hAnsi="Arial" w:cs="Arial"/>
          <w:sz w:val="20"/>
          <w:szCs w:val="20"/>
        </w:rPr>
      </w:pPr>
      <w:r>
        <w:rPr>
          <w:i/>
          <w:noProof/>
        </w:rPr>
        <mc:AlternateContent>
          <mc:Choice Requires="wps">
            <w:drawing>
              <wp:anchor distT="0" distB="0" distL="114300" distR="114300" simplePos="0" relativeHeight="251660288" behindDoc="0" locked="0" layoutInCell="1" hidden="0" allowOverlap="1" wp14:anchorId="0B5152D2" wp14:editId="49E2E847">
                <wp:simplePos x="0" y="0"/>
                <wp:positionH relativeFrom="margin">
                  <wp:align>center</wp:align>
                </wp:positionH>
                <wp:positionV relativeFrom="page">
                  <wp:posOffset>5277979</wp:posOffset>
                </wp:positionV>
                <wp:extent cx="3528695" cy="471170"/>
                <wp:effectExtent l="0" t="0" r="0" b="0"/>
                <wp:wrapNone/>
                <wp:docPr id="8" name="Rectangle 8"/>
                <wp:cNvGraphicFramePr/>
                <a:graphic xmlns:a="http://schemas.openxmlformats.org/drawingml/2006/main">
                  <a:graphicData uri="http://schemas.microsoft.com/office/word/2010/wordprocessingShape">
                    <wps:wsp>
                      <wps:cNvSpPr/>
                      <wps:spPr>
                        <a:xfrm>
                          <a:off x="3591178" y="3553940"/>
                          <a:ext cx="3509645" cy="452120"/>
                        </a:xfrm>
                        <a:prstGeom prst="rect">
                          <a:avLst/>
                        </a:prstGeom>
                        <a:noFill/>
                        <a:ln>
                          <a:noFill/>
                        </a:ln>
                      </wps:spPr>
                      <wps:txbx>
                        <w:txbxContent>
                          <w:p w14:paraId="158F90B8" w14:textId="77777777" w:rsidR="00672401" w:rsidRDefault="00672401">
                            <w:pPr>
                              <w:spacing w:line="258" w:lineRule="auto"/>
                              <w:textDirection w:val="btLr"/>
                            </w:pPr>
                            <w:r>
                              <w:rPr>
                                <w:color w:val="000000"/>
                                <w:sz w:val="20"/>
                              </w:rPr>
                              <w:t xml:space="preserve"> </w:t>
                            </w:r>
                          </w:p>
                          <w:p w14:paraId="3FAFA5D4" w14:textId="77777777" w:rsidR="00672401" w:rsidRDefault="00672401">
                            <w:pPr>
                              <w:spacing w:line="258" w:lineRule="auto"/>
                              <w:textDirection w:val="btLr"/>
                            </w:pPr>
                          </w:p>
                          <w:p w14:paraId="50799EB1"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0B5152D2" id="Rectangle 8" o:spid="_x0000_s1026" style="position:absolute;left:0;text-align:left;margin-left:0;margin-top:415.6pt;width:277.85pt;height:37.1pt;z-index:251660288;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" filled="f" stroked="f">
                <v:textbox inset="0,0,0,0">
                  <w:txbxContent>
                    <w:p w14:paraId="158F90B8" w14:textId="77777777" w:rsidR="00672401" w:rsidRDefault="00672401">
                      <w:pPr>
                        <w:spacing w:line="258" w:lineRule="auto"/>
                        <w:textDirection w:val="btLr"/>
                      </w:pPr>
                      <w:r>
                        <w:rPr>
                          <w:color w:val="000000"/>
                          <w:sz w:val="20"/>
                        </w:rPr>
                        <w:t xml:space="preserve"> </w:t>
                      </w:r>
                    </w:p>
                    <w:p w14:paraId="3FAFA5D4" w14:textId="77777777" w:rsidR="00672401" w:rsidRDefault="00672401">
                      <w:pPr>
                        <w:spacing w:line="258" w:lineRule="auto"/>
                        <w:textDirection w:val="btLr"/>
                      </w:pPr>
                    </w:p>
                    <w:p w14:paraId="50799EB1" w14:textId="77777777" w:rsidR="00672401" w:rsidRDefault="00672401">
                      <w:pPr>
                        <w:spacing w:line="258" w:lineRule="auto"/>
                        <w:textDirection w:val="btLr"/>
                      </w:pPr>
                    </w:p>
                  </w:txbxContent>
                </v:textbox>
                <w10:wrap anchorx="margin" anchory="page"/>
              </v:rect>
            </w:pict>
          </mc:Fallback>
        </mc:AlternateContent>
      </w:r>
    </w:p>
    <w:p w14:paraId="6D76EC02" w14:textId="77777777" w:rsidR="00A031A6" w:rsidRDefault="00A031A6">
      <w:pPr>
        <w:tabs>
          <w:tab w:val="left" w:pos="1875"/>
        </w:tabs>
        <w:spacing w:line="360" w:lineRule="auto"/>
        <w:jc w:val="center"/>
        <w:rPr>
          <w:rFonts w:ascii="Arial" w:eastAsia="Arial" w:hAnsi="Arial" w:cs="Arial"/>
          <w:sz w:val="20"/>
          <w:szCs w:val="20"/>
        </w:rPr>
      </w:pPr>
    </w:p>
    <w:p w14:paraId="0648ED6F" w14:textId="77777777" w:rsidR="00A031A6" w:rsidRDefault="00916FD0">
      <w:pPr>
        <w:spacing w:line="360" w:lineRule="auto"/>
        <w:jc w:val="both"/>
        <w:rPr>
          <w:rFonts w:ascii="Arial" w:eastAsia="Arial" w:hAnsi="Arial" w:cs="Arial"/>
          <w:b/>
          <w:sz w:val="20"/>
          <w:szCs w:val="20"/>
        </w:rPr>
      </w:pPr>
      <w:r>
        <w:rPr>
          <w:rFonts w:ascii="Arial" w:eastAsia="Arial" w:hAnsi="Arial" w:cs="Arial"/>
          <w:sz w:val="20"/>
          <w:szCs w:val="20"/>
        </w:rPr>
        <w:t>Nationally Determined Contributions</w:t>
      </w:r>
      <w:r>
        <w:rPr>
          <w:rFonts w:ascii="Arial" w:eastAsia="Arial" w:hAnsi="Arial" w:cs="Arial"/>
          <w:b/>
          <w:sz w:val="20"/>
          <w:szCs w:val="20"/>
        </w:rPr>
        <w:t xml:space="preserve"> </w:t>
      </w:r>
      <w:r>
        <w:rPr>
          <w:rFonts w:ascii="Arial" w:eastAsia="Arial" w:hAnsi="Arial" w:cs="Arial"/>
          <w:sz w:val="20"/>
          <w:szCs w:val="20"/>
        </w:rPr>
        <w:t xml:space="preserve">emission targets for Indonesia is compared to the NEXSTEP analysis results in table 9. NEXSTEP analysis results agree with the Indonesia Energy Outlook 2019. However, results indicate that Indonesia’s original NDC targets for BAU are outdated and need to be revised.  </w:t>
      </w:r>
    </w:p>
    <w:p w14:paraId="36C97399"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143" w:name="_20xfydz" w:colFirst="0" w:colLast="0"/>
      <w:bookmarkEnd w:id="143"/>
      <w:r>
        <w:rPr>
          <w:rFonts w:ascii="Arial" w:eastAsia="Arial" w:hAnsi="Arial" w:cs="Arial"/>
          <w:b/>
          <w:color w:val="000000"/>
          <w:sz w:val="20"/>
          <w:szCs w:val="20"/>
        </w:rPr>
        <w:t>Table 9. Energy sector emissions in 2030*</w:t>
      </w:r>
    </w:p>
    <w:tbl>
      <w:tblPr>
        <w:tblStyle w:val="ac"/>
        <w:tblW w:w="9071" w:type="dxa"/>
        <w:tblLayout w:type="fixed"/>
        <w:tblLook w:val="0400" w:firstRow="0" w:lastRow="0" w:firstColumn="0" w:lastColumn="0" w:noHBand="0" w:noVBand="1"/>
      </w:tblPr>
      <w:tblGrid>
        <w:gridCol w:w="5102"/>
        <w:gridCol w:w="2268"/>
        <w:gridCol w:w="1701"/>
      </w:tblGrid>
      <w:tr w:rsidR="00A031A6" w14:paraId="4E575DD5" w14:textId="77777777">
        <w:trPr>
          <w:trHeight w:val="340"/>
        </w:trPr>
        <w:tc>
          <w:tcPr>
            <w:tcW w:w="9071" w:type="dxa"/>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14:paraId="696477DE" w14:textId="77777777" w:rsidR="00A031A6" w:rsidRDefault="00916FD0">
            <w:pPr>
              <w:rPr>
                <w:rFonts w:ascii="Arial" w:eastAsia="Arial" w:hAnsi="Arial" w:cs="Arial"/>
                <w:b/>
                <w:color w:val="FFFFFF"/>
                <w:sz w:val="18"/>
                <w:szCs w:val="18"/>
              </w:rPr>
            </w:pPr>
            <w:r>
              <w:rPr>
                <w:rFonts w:ascii="Arial" w:eastAsia="Arial" w:hAnsi="Arial" w:cs="Arial"/>
                <w:b/>
                <w:color w:val="FFFFFF"/>
                <w:sz w:val="18"/>
                <w:szCs w:val="18"/>
              </w:rPr>
              <w:t>BAU Scenario</w:t>
            </w:r>
          </w:p>
        </w:tc>
      </w:tr>
      <w:tr w:rsidR="00A031A6" w14:paraId="61367426"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08B79A96"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NEXSTEP BAU</w:t>
            </w:r>
          </w:p>
        </w:tc>
        <w:tc>
          <w:tcPr>
            <w:tcW w:w="2268" w:type="dxa"/>
            <w:tcBorders>
              <w:top w:val="nil"/>
              <w:left w:val="nil"/>
              <w:bottom w:val="single" w:sz="4" w:space="0" w:color="000000"/>
              <w:right w:val="single" w:sz="4" w:space="0" w:color="000000"/>
            </w:tcBorders>
            <w:vAlign w:val="center"/>
          </w:tcPr>
          <w:p w14:paraId="06B216AE"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880</w:t>
            </w:r>
          </w:p>
        </w:tc>
        <w:tc>
          <w:tcPr>
            <w:tcW w:w="1701" w:type="dxa"/>
            <w:tcBorders>
              <w:top w:val="nil"/>
              <w:left w:val="nil"/>
              <w:bottom w:val="single" w:sz="4" w:space="0" w:color="000000"/>
              <w:right w:val="single" w:sz="4" w:space="0" w:color="000000"/>
            </w:tcBorders>
            <w:vAlign w:val="center"/>
          </w:tcPr>
          <w:p w14:paraId="791CCECD"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2E48EFFB"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0112C261"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Indonesia Energy Outlook 2019 (BAU Scenario)</w:t>
            </w:r>
          </w:p>
        </w:tc>
        <w:tc>
          <w:tcPr>
            <w:tcW w:w="2268" w:type="dxa"/>
            <w:tcBorders>
              <w:top w:val="nil"/>
              <w:left w:val="nil"/>
              <w:bottom w:val="single" w:sz="4" w:space="0" w:color="000000"/>
              <w:right w:val="single" w:sz="4" w:space="0" w:color="000000"/>
            </w:tcBorders>
            <w:vAlign w:val="center"/>
          </w:tcPr>
          <w:p w14:paraId="47B7BE48"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912</w:t>
            </w:r>
          </w:p>
        </w:tc>
        <w:tc>
          <w:tcPr>
            <w:tcW w:w="1701" w:type="dxa"/>
            <w:tcBorders>
              <w:top w:val="nil"/>
              <w:left w:val="nil"/>
              <w:bottom w:val="single" w:sz="4" w:space="0" w:color="000000"/>
              <w:right w:val="single" w:sz="4" w:space="0" w:color="000000"/>
            </w:tcBorders>
            <w:vAlign w:val="center"/>
          </w:tcPr>
          <w:p w14:paraId="6F0BAF17"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3AE86774"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3F2B35F1"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Indonesia NDC Document Projection</w:t>
            </w:r>
          </w:p>
        </w:tc>
        <w:tc>
          <w:tcPr>
            <w:tcW w:w="2268" w:type="dxa"/>
            <w:tcBorders>
              <w:top w:val="nil"/>
              <w:left w:val="nil"/>
              <w:bottom w:val="single" w:sz="4" w:space="0" w:color="000000"/>
              <w:right w:val="single" w:sz="4" w:space="0" w:color="000000"/>
            </w:tcBorders>
            <w:vAlign w:val="center"/>
          </w:tcPr>
          <w:p w14:paraId="77C13C82"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1,669</w:t>
            </w:r>
          </w:p>
        </w:tc>
        <w:tc>
          <w:tcPr>
            <w:tcW w:w="1701" w:type="dxa"/>
            <w:tcBorders>
              <w:top w:val="nil"/>
              <w:left w:val="nil"/>
              <w:bottom w:val="single" w:sz="4" w:space="0" w:color="000000"/>
              <w:right w:val="single" w:sz="4" w:space="0" w:color="000000"/>
            </w:tcBorders>
            <w:vAlign w:val="center"/>
          </w:tcPr>
          <w:p w14:paraId="4B3B3EE3"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1C184387" w14:textId="77777777">
        <w:trPr>
          <w:trHeight w:val="340"/>
        </w:trPr>
        <w:tc>
          <w:tcPr>
            <w:tcW w:w="9071" w:type="dxa"/>
            <w:gridSpan w:val="3"/>
            <w:tcBorders>
              <w:top w:val="nil"/>
              <w:left w:val="single" w:sz="4" w:space="0" w:color="000000"/>
              <w:bottom w:val="single" w:sz="4" w:space="0" w:color="000000"/>
              <w:right w:val="single" w:sz="4" w:space="0" w:color="000000"/>
            </w:tcBorders>
            <w:shd w:val="clear" w:color="auto" w:fill="808080"/>
            <w:vAlign w:val="center"/>
          </w:tcPr>
          <w:p w14:paraId="00D59095" w14:textId="77777777" w:rsidR="00A031A6" w:rsidRDefault="00916FD0">
            <w:pPr>
              <w:rPr>
                <w:rFonts w:ascii="Arial" w:eastAsia="Arial" w:hAnsi="Arial" w:cs="Arial"/>
                <w:color w:val="FFFFFF"/>
                <w:sz w:val="18"/>
                <w:szCs w:val="18"/>
              </w:rPr>
            </w:pPr>
            <w:r>
              <w:rPr>
                <w:rFonts w:ascii="Arial" w:eastAsia="Arial" w:hAnsi="Arial" w:cs="Arial"/>
                <w:b/>
                <w:color w:val="FFFFFF"/>
                <w:sz w:val="18"/>
                <w:szCs w:val="18"/>
              </w:rPr>
              <w:t>Current Policy Scenario</w:t>
            </w:r>
          </w:p>
        </w:tc>
      </w:tr>
      <w:tr w:rsidR="00A031A6" w14:paraId="532BA880"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69E349A4"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NEXSTEP CPS</w:t>
            </w:r>
          </w:p>
        </w:tc>
        <w:tc>
          <w:tcPr>
            <w:tcW w:w="2268" w:type="dxa"/>
            <w:tcBorders>
              <w:top w:val="nil"/>
              <w:left w:val="nil"/>
              <w:bottom w:val="single" w:sz="4" w:space="0" w:color="000000"/>
              <w:right w:val="single" w:sz="4" w:space="0" w:color="000000"/>
            </w:tcBorders>
            <w:vAlign w:val="center"/>
          </w:tcPr>
          <w:p w14:paraId="4F8CF560"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825</w:t>
            </w:r>
          </w:p>
        </w:tc>
        <w:tc>
          <w:tcPr>
            <w:tcW w:w="1701" w:type="dxa"/>
            <w:tcBorders>
              <w:top w:val="nil"/>
              <w:left w:val="nil"/>
              <w:bottom w:val="single" w:sz="4" w:space="0" w:color="000000"/>
              <w:right w:val="single" w:sz="4" w:space="0" w:color="000000"/>
            </w:tcBorders>
            <w:vAlign w:val="center"/>
          </w:tcPr>
          <w:p w14:paraId="6DAE4F78"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5057BC73"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4CEC24B8"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Indonesia Energy Outlook 2019 (PB Scenario)</w:t>
            </w:r>
          </w:p>
        </w:tc>
        <w:tc>
          <w:tcPr>
            <w:tcW w:w="2268" w:type="dxa"/>
            <w:tcBorders>
              <w:top w:val="nil"/>
              <w:left w:val="nil"/>
              <w:bottom w:val="single" w:sz="4" w:space="0" w:color="000000"/>
              <w:right w:val="single" w:sz="4" w:space="0" w:color="000000"/>
            </w:tcBorders>
            <w:vAlign w:val="center"/>
          </w:tcPr>
          <w:p w14:paraId="1A49881A"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813</w:t>
            </w:r>
          </w:p>
        </w:tc>
        <w:tc>
          <w:tcPr>
            <w:tcW w:w="1701" w:type="dxa"/>
            <w:tcBorders>
              <w:top w:val="nil"/>
              <w:left w:val="nil"/>
              <w:bottom w:val="single" w:sz="4" w:space="0" w:color="000000"/>
              <w:right w:val="single" w:sz="4" w:space="0" w:color="000000"/>
            </w:tcBorders>
            <w:vAlign w:val="center"/>
          </w:tcPr>
          <w:p w14:paraId="11F71E72"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0EB0101A" w14:textId="77777777">
        <w:trPr>
          <w:trHeight w:val="340"/>
        </w:trPr>
        <w:tc>
          <w:tcPr>
            <w:tcW w:w="9071" w:type="dxa"/>
            <w:gridSpan w:val="3"/>
            <w:tcBorders>
              <w:top w:val="nil"/>
              <w:left w:val="single" w:sz="4" w:space="0" w:color="000000"/>
              <w:bottom w:val="single" w:sz="4" w:space="0" w:color="000000"/>
              <w:right w:val="single" w:sz="4" w:space="0" w:color="000000"/>
            </w:tcBorders>
            <w:shd w:val="clear" w:color="auto" w:fill="808080"/>
            <w:vAlign w:val="center"/>
          </w:tcPr>
          <w:p w14:paraId="50E57B17" w14:textId="77777777" w:rsidR="00A031A6" w:rsidRDefault="00916FD0">
            <w:pPr>
              <w:rPr>
                <w:rFonts w:ascii="Arial" w:eastAsia="Arial" w:hAnsi="Arial" w:cs="Arial"/>
                <w:color w:val="FFFFFF"/>
                <w:sz w:val="18"/>
                <w:szCs w:val="18"/>
              </w:rPr>
            </w:pPr>
            <w:r>
              <w:rPr>
                <w:rFonts w:ascii="Arial" w:eastAsia="Arial" w:hAnsi="Arial" w:cs="Arial"/>
                <w:b/>
                <w:color w:val="FFFFFF"/>
                <w:sz w:val="18"/>
                <w:szCs w:val="18"/>
              </w:rPr>
              <w:t>Sustainable Development Goal Scenario</w:t>
            </w:r>
          </w:p>
        </w:tc>
      </w:tr>
      <w:tr w:rsidR="00A031A6" w14:paraId="549C3878"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13667AC2"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NEXSTEP SDG</w:t>
            </w:r>
          </w:p>
        </w:tc>
        <w:tc>
          <w:tcPr>
            <w:tcW w:w="2268" w:type="dxa"/>
            <w:tcBorders>
              <w:top w:val="nil"/>
              <w:left w:val="nil"/>
              <w:bottom w:val="single" w:sz="4" w:space="0" w:color="000000"/>
              <w:right w:val="single" w:sz="4" w:space="0" w:color="000000"/>
            </w:tcBorders>
            <w:vAlign w:val="center"/>
          </w:tcPr>
          <w:p w14:paraId="5D8018A0"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605</w:t>
            </w:r>
          </w:p>
        </w:tc>
        <w:tc>
          <w:tcPr>
            <w:tcW w:w="1701" w:type="dxa"/>
            <w:tcBorders>
              <w:top w:val="nil"/>
              <w:left w:val="nil"/>
              <w:bottom w:val="single" w:sz="4" w:space="0" w:color="000000"/>
              <w:right w:val="single" w:sz="4" w:space="0" w:color="000000"/>
            </w:tcBorders>
            <w:vAlign w:val="center"/>
          </w:tcPr>
          <w:p w14:paraId="163D9C27"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164A6077"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082F2532"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Indonesia Energy Outlook 2019 (RK Scenario)</w:t>
            </w:r>
          </w:p>
        </w:tc>
        <w:tc>
          <w:tcPr>
            <w:tcW w:w="2268" w:type="dxa"/>
            <w:tcBorders>
              <w:top w:val="nil"/>
              <w:left w:val="nil"/>
              <w:bottom w:val="single" w:sz="4" w:space="0" w:color="000000"/>
              <w:right w:val="single" w:sz="4" w:space="0" w:color="000000"/>
            </w:tcBorders>
            <w:vAlign w:val="center"/>
          </w:tcPr>
          <w:p w14:paraId="13B29B3A"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667</w:t>
            </w:r>
          </w:p>
        </w:tc>
        <w:tc>
          <w:tcPr>
            <w:tcW w:w="1701" w:type="dxa"/>
            <w:tcBorders>
              <w:top w:val="nil"/>
              <w:left w:val="nil"/>
              <w:bottom w:val="single" w:sz="4" w:space="0" w:color="000000"/>
              <w:right w:val="single" w:sz="4" w:space="0" w:color="000000"/>
            </w:tcBorders>
            <w:vAlign w:val="center"/>
          </w:tcPr>
          <w:p w14:paraId="45F9AC0E"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0AE7C910" w14:textId="77777777">
        <w:trPr>
          <w:trHeight w:val="340"/>
        </w:trPr>
        <w:tc>
          <w:tcPr>
            <w:tcW w:w="9071" w:type="dxa"/>
            <w:gridSpan w:val="3"/>
            <w:tcBorders>
              <w:top w:val="nil"/>
              <w:left w:val="single" w:sz="4" w:space="0" w:color="000000"/>
              <w:bottom w:val="single" w:sz="4" w:space="0" w:color="000000"/>
              <w:right w:val="single" w:sz="4" w:space="0" w:color="000000"/>
            </w:tcBorders>
            <w:shd w:val="clear" w:color="auto" w:fill="808080"/>
            <w:vAlign w:val="center"/>
          </w:tcPr>
          <w:p w14:paraId="3E6384BB" w14:textId="77777777" w:rsidR="00A031A6" w:rsidRDefault="00916FD0">
            <w:pPr>
              <w:rPr>
                <w:rFonts w:ascii="Arial" w:eastAsia="Arial" w:hAnsi="Arial" w:cs="Arial"/>
                <w:color w:val="FFFFFF"/>
                <w:sz w:val="18"/>
                <w:szCs w:val="18"/>
              </w:rPr>
            </w:pPr>
            <w:r>
              <w:rPr>
                <w:rFonts w:ascii="Arial" w:eastAsia="Arial" w:hAnsi="Arial" w:cs="Arial"/>
                <w:b/>
                <w:color w:val="FFFFFF"/>
                <w:sz w:val="18"/>
                <w:szCs w:val="18"/>
              </w:rPr>
              <w:t>NEXSTEP Emission Targets 2030</w:t>
            </w:r>
          </w:p>
        </w:tc>
      </w:tr>
      <w:tr w:rsidR="00A031A6" w14:paraId="05BA4F53"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79191718"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NDC Unconditional (11% reduction compared to BAU)</w:t>
            </w:r>
          </w:p>
        </w:tc>
        <w:tc>
          <w:tcPr>
            <w:tcW w:w="2268" w:type="dxa"/>
            <w:tcBorders>
              <w:top w:val="nil"/>
              <w:left w:val="nil"/>
              <w:bottom w:val="single" w:sz="4" w:space="0" w:color="000000"/>
              <w:right w:val="single" w:sz="4" w:space="0" w:color="000000"/>
            </w:tcBorders>
            <w:vAlign w:val="center"/>
          </w:tcPr>
          <w:p w14:paraId="5297DAF8"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783</w:t>
            </w:r>
          </w:p>
        </w:tc>
        <w:tc>
          <w:tcPr>
            <w:tcW w:w="1701" w:type="dxa"/>
            <w:tcBorders>
              <w:top w:val="nil"/>
              <w:left w:val="nil"/>
              <w:bottom w:val="single" w:sz="4" w:space="0" w:color="000000"/>
              <w:right w:val="single" w:sz="4" w:space="0" w:color="000000"/>
            </w:tcBorders>
            <w:vAlign w:val="center"/>
          </w:tcPr>
          <w:p w14:paraId="26B841A0"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73442CAB"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5781DF78"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NDC Conditional (14% reduction compared to BAU)</w:t>
            </w:r>
          </w:p>
        </w:tc>
        <w:tc>
          <w:tcPr>
            <w:tcW w:w="2268" w:type="dxa"/>
            <w:tcBorders>
              <w:top w:val="nil"/>
              <w:left w:val="nil"/>
              <w:bottom w:val="single" w:sz="4" w:space="0" w:color="000000"/>
              <w:right w:val="single" w:sz="4" w:space="0" w:color="000000"/>
            </w:tcBorders>
            <w:vAlign w:val="center"/>
          </w:tcPr>
          <w:p w14:paraId="2C66E0E7"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757</w:t>
            </w:r>
          </w:p>
        </w:tc>
        <w:tc>
          <w:tcPr>
            <w:tcW w:w="1701" w:type="dxa"/>
            <w:tcBorders>
              <w:top w:val="nil"/>
              <w:left w:val="nil"/>
              <w:bottom w:val="single" w:sz="4" w:space="0" w:color="000000"/>
              <w:right w:val="single" w:sz="4" w:space="0" w:color="000000"/>
            </w:tcBorders>
            <w:vAlign w:val="center"/>
          </w:tcPr>
          <w:p w14:paraId="01CEBD63"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r w:rsidR="00A031A6" w14:paraId="09FD28FA" w14:textId="77777777">
        <w:trPr>
          <w:trHeight w:val="340"/>
        </w:trPr>
        <w:tc>
          <w:tcPr>
            <w:tcW w:w="5102" w:type="dxa"/>
            <w:tcBorders>
              <w:top w:val="nil"/>
              <w:left w:val="single" w:sz="4" w:space="0" w:color="000000"/>
              <w:bottom w:val="single" w:sz="4" w:space="0" w:color="000000"/>
              <w:right w:val="single" w:sz="4" w:space="0" w:color="000000"/>
            </w:tcBorders>
            <w:vAlign w:val="center"/>
          </w:tcPr>
          <w:p w14:paraId="197294B0"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lastRenderedPageBreak/>
              <w:t>NDC 1.5-degrees (18% reduction compared to BAU)</w:t>
            </w:r>
          </w:p>
        </w:tc>
        <w:tc>
          <w:tcPr>
            <w:tcW w:w="2268" w:type="dxa"/>
            <w:tcBorders>
              <w:top w:val="nil"/>
              <w:left w:val="nil"/>
              <w:bottom w:val="single" w:sz="4" w:space="0" w:color="000000"/>
              <w:right w:val="single" w:sz="4" w:space="0" w:color="000000"/>
            </w:tcBorders>
            <w:vAlign w:val="center"/>
          </w:tcPr>
          <w:p w14:paraId="5BBED204" w14:textId="77777777" w:rsidR="00A031A6" w:rsidRDefault="00916FD0">
            <w:pPr>
              <w:jc w:val="center"/>
              <w:rPr>
                <w:rFonts w:ascii="Arial" w:eastAsia="Arial" w:hAnsi="Arial" w:cs="Arial"/>
                <w:color w:val="201F1E"/>
                <w:sz w:val="18"/>
                <w:szCs w:val="18"/>
              </w:rPr>
            </w:pPr>
            <w:r>
              <w:rPr>
                <w:rFonts w:ascii="Arial" w:eastAsia="Arial" w:hAnsi="Arial" w:cs="Arial"/>
                <w:color w:val="201F1E"/>
                <w:sz w:val="18"/>
                <w:szCs w:val="18"/>
              </w:rPr>
              <w:t>722</w:t>
            </w:r>
          </w:p>
        </w:tc>
        <w:tc>
          <w:tcPr>
            <w:tcW w:w="1701" w:type="dxa"/>
            <w:tcBorders>
              <w:top w:val="nil"/>
              <w:left w:val="nil"/>
              <w:bottom w:val="single" w:sz="4" w:space="0" w:color="000000"/>
              <w:right w:val="single" w:sz="4" w:space="0" w:color="000000"/>
            </w:tcBorders>
            <w:vAlign w:val="center"/>
          </w:tcPr>
          <w:p w14:paraId="428BD87E" w14:textId="77777777" w:rsidR="00A031A6" w:rsidRDefault="00916FD0">
            <w:pPr>
              <w:rPr>
                <w:rFonts w:ascii="Arial" w:eastAsia="Arial" w:hAnsi="Arial" w:cs="Arial"/>
                <w:color w:val="201F1E"/>
                <w:sz w:val="18"/>
                <w:szCs w:val="18"/>
              </w:rPr>
            </w:pPr>
            <w:r>
              <w:rPr>
                <w:rFonts w:ascii="Arial" w:eastAsia="Arial" w:hAnsi="Arial" w:cs="Arial"/>
                <w:color w:val="201F1E"/>
                <w:sz w:val="18"/>
                <w:szCs w:val="18"/>
              </w:rPr>
              <w:t>MTCO2e</w:t>
            </w:r>
          </w:p>
        </w:tc>
      </w:tr>
    </w:tbl>
    <w:p w14:paraId="5019B212" w14:textId="77777777" w:rsidR="00A031A6" w:rsidRDefault="00A031A6">
      <w:pPr>
        <w:spacing w:line="360" w:lineRule="auto"/>
        <w:rPr>
          <w:rFonts w:ascii="Arial" w:eastAsia="Arial" w:hAnsi="Arial" w:cs="Arial"/>
          <w:i/>
          <w:sz w:val="2"/>
          <w:szCs w:val="2"/>
        </w:rPr>
      </w:pPr>
    </w:p>
    <w:p w14:paraId="04D13FAC" w14:textId="77777777" w:rsidR="00A031A6" w:rsidRDefault="00916FD0">
      <w:pPr>
        <w:spacing w:line="360" w:lineRule="auto"/>
        <w:rPr>
          <w:rFonts w:ascii="Arial" w:eastAsia="Arial" w:hAnsi="Arial" w:cs="Arial"/>
          <w:i/>
          <w:sz w:val="18"/>
          <w:szCs w:val="18"/>
        </w:rPr>
      </w:pPr>
      <w:r>
        <w:rPr>
          <w:rFonts w:ascii="Arial" w:eastAsia="Arial" w:hAnsi="Arial" w:cs="Arial"/>
          <w:i/>
          <w:sz w:val="18"/>
          <w:szCs w:val="18"/>
        </w:rPr>
        <w:t>*Emissions align with Indonesia Energy Outlook 2019. However, the BAU scenario of emission projection in NDC is very different and should be revised based on the current data and updated factors, e.g., GDP growth rate.</w:t>
      </w:r>
    </w:p>
    <w:p w14:paraId="6A8468DF" w14:textId="77777777" w:rsidR="00A031A6" w:rsidRDefault="00916FD0">
      <w:pPr>
        <w:pStyle w:val="Heading2"/>
        <w:numPr>
          <w:ilvl w:val="0"/>
          <w:numId w:val="13"/>
        </w:numPr>
      </w:pPr>
      <w:bookmarkStart w:id="144" w:name="_Toc62221456"/>
      <w:r>
        <w:t>Key assumptions</w:t>
      </w:r>
      <w:bookmarkEnd w:id="144"/>
    </w:p>
    <w:p w14:paraId="74B82679" w14:textId="77777777" w:rsidR="00A031A6" w:rsidRDefault="00916FD0">
      <w:pPr>
        <w:pStyle w:val="Heading3"/>
        <w:ind w:firstLine="716"/>
      </w:pPr>
      <w:bookmarkStart w:id="145" w:name="_Toc62221457"/>
      <w:r>
        <w:t>GDP Growth</w:t>
      </w:r>
      <w:bookmarkEnd w:id="145"/>
    </w:p>
    <w:p w14:paraId="57A8ECA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According to Presidential Regulation No. 18 /2020 on the Medium-term National Development Planning (RPJMN 2020-2024), economic growth is expected to increase at 5.7 - 6.0% with scenarios:</w:t>
      </w:r>
    </w:p>
    <w:p w14:paraId="068B0CA6"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46" w:name="_1f7o1he" w:colFirst="0" w:colLast="0"/>
      <w:bookmarkEnd w:id="146"/>
      <w:r>
        <w:rPr>
          <w:rFonts w:ascii="Arial" w:eastAsia="Arial" w:hAnsi="Arial" w:cs="Arial"/>
          <w:b/>
          <w:color w:val="000000"/>
          <w:sz w:val="20"/>
          <w:szCs w:val="20"/>
        </w:rPr>
        <w:t>Table 10. GDP Growth</w:t>
      </w:r>
    </w:p>
    <w:tbl>
      <w:tblPr>
        <w:tblStyle w:val="ad"/>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A031A6" w14:paraId="63F954D3" w14:textId="77777777">
        <w:trPr>
          <w:trHeight w:val="340"/>
        </w:trPr>
        <w:tc>
          <w:tcPr>
            <w:tcW w:w="4535" w:type="dxa"/>
            <w:shd w:val="clear" w:color="auto" w:fill="808080"/>
            <w:vAlign w:val="center"/>
          </w:tcPr>
          <w:p w14:paraId="1F70F135"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4535" w:type="dxa"/>
            <w:shd w:val="clear" w:color="auto" w:fill="808080"/>
            <w:vAlign w:val="center"/>
          </w:tcPr>
          <w:p w14:paraId="4AE23ADF"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Moderate (%)</w:t>
            </w:r>
          </w:p>
        </w:tc>
      </w:tr>
      <w:tr w:rsidR="00A031A6" w14:paraId="0A87C889" w14:textId="77777777">
        <w:trPr>
          <w:trHeight w:val="340"/>
        </w:trPr>
        <w:tc>
          <w:tcPr>
            <w:tcW w:w="4535" w:type="dxa"/>
            <w:vAlign w:val="center"/>
          </w:tcPr>
          <w:p w14:paraId="6F381E5B" w14:textId="77777777" w:rsidR="00A031A6" w:rsidRDefault="00916FD0">
            <w:pPr>
              <w:jc w:val="center"/>
              <w:rPr>
                <w:rFonts w:ascii="Arial" w:eastAsia="Arial" w:hAnsi="Arial" w:cs="Arial"/>
                <w:sz w:val="20"/>
                <w:szCs w:val="20"/>
              </w:rPr>
            </w:pPr>
            <w:r>
              <w:rPr>
                <w:rFonts w:ascii="Arial" w:eastAsia="Arial" w:hAnsi="Arial" w:cs="Arial"/>
                <w:sz w:val="20"/>
                <w:szCs w:val="20"/>
              </w:rPr>
              <w:t>2020</w:t>
            </w:r>
          </w:p>
        </w:tc>
        <w:tc>
          <w:tcPr>
            <w:tcW w:w="4535" w:type="dxa"/>
            <w:vAlign w:val="center"/>
          </w:tcPr>
          <w:p w14:paraId="56F184FD" w14:textId="77777777" w:rsidR="00A031A6" w:rsidRDefault="00916FD0">
            <w:pPr>
              <w:jc w:val="center"/>
              <w:rPr>
                <w:rFonts w:ascii="Arial" w:eastAsia="Arial" w:hAnsi="Arial" w:cs="Arial"/>
                <w:sz w:val="20"/>
                <w:szCs w:val="20"/>
              </w:rPr>
            </w:pPr>
            <w:r>
              <w:rPr>
                <w:rFonts w:ascii="Arial" w:eastAsia="Arial" w:hAnsi="Arial" w:cs="Arial"/>
                <w:sz w:val="20"/>
                <w:szCs w:val="20"/>
              </w:rPr>
              <w:t>5.3</w:t>
            </w:r>
          </w:p>
        </w:tc>
      </w:tr>
      <w:tr w:rsidR="00A031A6" w14:paraId="6867FFC5" w14:textId="77777777">
        <w:trPr>
          <w:trHeight w:val="340"/>
        </w:trPr>
        <w:tc>
          <w:tcPr>
            <w:tcW w:w="4535" w:type="dxa"/>
            <w:vAlign w:val="center"/>
          </w:tcPr>
          <w:p w14:paraId="1624F575" w14:textId="77777777" w:rsidR="00A031A6" w:rsidRDefault="00916FD0">
            <w:pPr>
              <w:jc w:val="center"/>
              <w:rPr>
                <w:rFonts w:ascii="Arial" w:eastAsia="Arial" w:hAnsi="Arial" w:cs="Arial"/>
                <w:sz w:val="20"/>
                <w:szCs w:val="20"/>
              </w:rPr>
            </w:pPr>
            <w:r>
              <w:rPr>
                <w:rFonts w:ascii="Arial" w:eastAsia="Arial" w:hAnsi="Arial" w:cs="Arial"/>
                <w:sz w:val="20"/>
                <w:szCs w:val="20"/>
              </w:rPr>
              <w:t>2021</w:t>
            </w:r>
          </w:p>
        </w:tc>
        <w:tc>
          <w:tcPr>
            <w:tcW w:w="4535" w:type="dxa"/>
            <w:vAlign w:val="center"/>
          </w:tcPr>
          <w:p w14:paraId="22E93A22" w14:textId="77777777" w:rsidR="00A031A6" w:rsidRDefault="00916FD0">
            <w:pPr>
              <w:jc w:val="center"/>
              <w:rPr>
                <w:rFonts w:ascii="Arial" w:eastAsia="Arial" w:hAnsi="Arial" w:cs="Arial"/>
                <w:sz w:val="20"/>
                <w:szCs w:val="20"/>
              </w:rPr>
            </w:pPr>
            <w:r>
              <w:rPr>
                <w:rFonts w:ascii="Arial" w:eastAsia="Arial" w:hAnsi="Arial" w:cs="Arial"/>
                <w:sz w:val="20"/>
                <w:szCs w:val="20"/>
              </w:rPr>
              <w:t>5.4</w:t>
            </w:r>
          </w:p>
        </w:tc>
      </w:tr>
      <w:tr w:rsidR="00A031A6" w14:paraId="21481CBF" w14:textId="77777777">
        <w:trPr>
          <w:trHeight w:val="340"/>
        </w:trPr>
        <w:tc>
          <w:tcPr>
            <w:tcW w:w="4535" w:type="dxa"/>
            <w:vAlign w:val="center"/>
          </w:tcPr>
          <w:p w14:paraId="78CC051A" w14:textId="77777777" w:rsidR="00A031A6" w:rsidRDefault="00916FD0">
            <w:pPr>
              <w:jc w:val="center"/>
              <w:rPr>
                <w:rFonts w:ascii="Arial" w:eastAsia="Arial" w:hAnsi="Arial" w:cs="Arial"/>
                <w:sz w:val="20"/>
                <w:szCs w:val="20"/>
              </w:rPr>
            </w:pPr>
            <w:r>
              <w:rPr>
                <w:rFonts w:ascii="Arial" w:eastAsia="Arial" w:hAnsi="Arial" w:cs="Arial"/>
                <w:sz w:val="20"/>
                <w:szCs w:val="20"/>
              </w:rPr>
              <w:t>2022</w:t>
            </w:r>
          </w:p>
        </w:tc>
        <w:tc>
          <w:tcPr>
            <w:tcW w:w="4535" w:type="dxa"/>
            <w:vAlign w:val="center"/>
          </w:tcPr>
          <w:p w14:paraId="45EC9CCC" w14:textId="77777777" w:rsidR="00A031A6" w:rsidRDefault="00916FD0">
            <w:pPr>
              <w:jc w:val="center"/>
              <w:rPr>
                <w:rFonts w:ascii="Arial" w:eastAsia="Arial" w:hAnsi="Arial" w:cs="Arial"/>
                <w:sz w:val="20"/>
                <w:szCs w:val="20"/>
              </w:rPr>
            </w:pPr>
            <w:r>
              <w:rPr>
                <w:rFonts w:ascii="Arial" w:eastAsia="Arial" w:hAnsi="Arial" w:cs="Arial"/>
                <w:sz w:val="20"/>
                <w:szCs w:val="20"/>
              </w:rPr>
              <w:t>5.7</w:t>
            </w:r>
          </w:p>
        </w:tc>
      </w:tr>
      <w:tr w:rsidR="00A031A6" w14:paraId="43A89853" w14:textId="77777777">
        <w:trPr>
          <w:trHeight w:val="340"/>
        </w:trPr>
        <w:tc>
          <w:tcPr>
            <w:tcW w:w="4535" w:type="dxa"/>
            <w:vAlign w:val="center"/>
          </w:tcPr>
          <w:p w14:paraId="66838EAC" w14:textId="77777777" w:rsidR="00A031A6" w:rsidRDefault="00916FD0">
            <w:pPr>
              <w:jc w:val="center"/>
              <w:rPr>
                <w:rFonts w:ascii="Arial" w:eastAsia="Arial" w:hAnsi="Arial" w:cs="Arial"/>
                <w:sz w:val="20"/>
                <w:szCs w:val="20"/>
              </w:rPr>
            </w:pPr>
            <w:r>
              <w:rPr>
                <w:rFonts w:ascii="Arial" w:eastAsia="Arial" w:hAnsi="Arial" w:cs="Arial"/>
                <w:sz w:val="20"/>
                <w:szCs w:val="20"/>
              </w:rPr>
              <w:t>2023</w:t>
            </w:r>
          </w:p>
        </w:tc>
        <w:tc>
          <w:tcPr>
            <w:tcW w:w="4535" w:type="dxa"/>
            <w:vAlign w:val="center"/>
          </w:tcPr>
          <w:p w14:paraId="60053AAB" w14:textId="77777777" w:rsidR="00A031A6" w:rsidRDefault="00916FD0">
            <w:pPr>
              <w:jc w:val="center"/>
              <w:rPr>
                <w:rFonts w:ascii="Arial" w:eastAsia="Arial" w:hAnsi="Arial" w:cs="Arial"/>
                <w:sz w:val="20"/>
                <w:szCs w:val="20"/>
              </w:rPr>
            </w:pPr>
            <w:r>
              <w:rPr>
                <w:rFonts w:ascii="Arial" w:eastAsia="Arial" w:hAnsi="Arial" w:cs="Arial"/>
                <w:sz w:val="20"/>
                <w:szCs w:val="20"/>
              </w:rPr>
              <w:t>6.0</w:t>
            </w:r>
          </w:p>
        </w:tc>
      </w:tr>
      <w:tr w:rsidR="00A031A6" w14:paraId="59C1D8DC" w14:textId="77777777">
        <w:trPr>
          <w:trHeight w:val="340"/>
        </w:trPr>
        <w:tc>
          <w:tcPr>
            <w:tcW w:w="4535" w:type="dxa"/>
            <w:vAlign w:val="center"/>
          </w:tcPr>
          <w:p w14:paraId="35E878B4" w14:textId="77777777" w:rsidR="00A031A6" w:rsidRDefault="00916FD0">
            <w:pPr>
              <w:jc w:val="center"/>
              <w:rPr>
                <w:rFonts w:ascii="Arial" w:eastAsia="Arial" w:hAnsi="Arial" w:cs="Arial"/>
                <w:sz w:val="20"/>
                <w:szCs w:val="20"/>
              </w:rPr>
            </w:pPr>
            <w:r>
              <w:rPr>
                <w:rFonts w:ascii="Arial" w:eastAsia="Arial" w:hAnsi="Arial" w:cs="Arial"/>
                <w:sz w:val="20"/>
                <w:szCs w:val="20"/>
              </w:rPr>
              <w:t>2024</w:t>
            </w:r>
          </w:p>
        </w:tc>
        <w:tc>
          <w:tcPr>
            <w:tcW w:w="4535" w:type="dxa"/>
            <w:vAlign w:val="center"/>
          </w:tcPr>
          <w:p w14:paraId="326B4EFC" w14:textId="77777777" w:rsidR="00A031A6" w:rsidRDefault="00916FD0">
            <w:pPr>
              <w:jc w:val="center"/>
              <w:rPr>
                <w:rFonts w:ascii="Arial" w:eastAsia="Arial" w:hAnsi="Arial" w:cs="Arial"/>
                <w:sz w:val="20"/>
                <w:szCs w:val="20"/>
              </w:rPr>
            </w:pPr>
            <w:r>
              <w:rPr>
                <w:rFonts w:ascii="Arial" w:eastAsia="Arial" w:hAnsi="Arial" w:cs="Arial"/>
                <w:sz w:val="20"/>
                <w:szCs w:val="20"/>
              </w:rPr>
              <w:t>6.2</w:t>
            </w:r>
          </w:p>
        </w:tc>
      </w:tr>
      <w:tr w:rsidR="00A031A6" w14:paraId="4C2E6CD4" w14:textId="77777777">
        <w:trPr>
          <w:trHeight w:val="340"/>
        </w:trPr>
        <w:tc>
          <w:tcPr>
            <w:tcW w:w="4535" w:type="dxa"/>
            <w:vAlign w:val="center"/>
          </w:tcPr>
          <w:p w14:paraId="7CA95C6A" w14:textId="77777777" w:rsidR="00A031A6" w:rsidRDefault="00916FD0">
            <w:pPr>
              <w:jc w:val="center"/>
              <w:rPr>
                <w:rFonts w:ascii="Arial" w:eastAsia="Arial" w:hAnsi="Arial" w:cs="Arial"/>
                <w:b/>
                <w:sz w:val="20"/>
                <w:szCs w:val="20"/>
              </w:rPr>
            </w:pPr>
            <w:r>
              <w:rPr>
                <w:rFonts w:ascii="Arial" w:eastAsia="Arial" w:hAnsi="Arial" w:cs="Arial"/>
                <w:b/>
                <w:sz w:val="20"/>
                <w:szCs w:val="20"/>
              </w:rPr>
              <w:t>Average</w:t>
            </w:r>
          </w:p>
        </w:tc>
        <w:tc>
          <w:tcPr>
            <w:tcW w:w="4535" w:type="dxa"/>
            <w:vAlign w:val="center"/>
          </w:tcPr>
          <w:p w14:paraId="084B4F50" w14:textId="77777777" w:rsidR="00A031A6" w:rsidRDefault="00916FD0">
            <w:pPr>
              <w:jc w:val="center"/>
              <w:rPr>
                <w:rFonts w:ascii="Arial" w:eastAsia="Arial" w:hAnsi="Arial" w:cs="Arial"/>
                <w:b/>
                <w:sz w:val="20"/>
                <w:szCs w:val="20"/>
              </w:rPr>
            </w:pPr>
            <w:r>
              <w:rPr>
                <w:rFonts w:ascii="Arial" w:eastAsia="Arial" w:hAnsi="Arial" w:cs="Arial"/>
                <w:b/>
                <w:sz w:val="20"/>
                <w:szCs w:val="20"/>
              </w:rPr>
              <w:t>5.7</w:t>
            </w:r>
          </w:p>
        </w:tc>
      </w:tr>
    </w:tbl>
    <w:p w14:paraId="2C11E6C5" w14:textId="77777777" w:rsidR="00A031A6" w:rsidRDefault="00A031A6">
      <w:pPr>
        <w:rPr>
          <w:rFonts w:ascii="Arial" w:eastAsia="Arial" w:hAnsi="Arial" w:cs="Arial"/>
          <w:b/>
          <w:sz w:val="20"/>
          <w:szCs w:val="20"/>
        </w:rPr>
      </w:pPr>
    </w:p>
    <w:p w14:paraId="45CEE0AB" w14:textId="77777777" w:rsidR="00A031A6" w:rsidRDefault="00916FD0">
      <w:pPr>
        <w:pStyle w:val="Heading3"/>
        <w:ind w:firstLine="716"/>
      </w:pPr>
      <w:bookmarkStart w:id="147" w:name="_Toc62221458"/>
      <w:r>
        <w:t>Population growth</w:t>
      </w:r>
      <w:bookmarkEnd w:id="147"/>
    </w:p>
    <w:p w14:paraId="2C8DD671" w14:textId="77777777" w:rsidR="00A031A6" w:rsidRDefault="00916FD0">
      <w:pPr>
        <w:rPr>
          <w:rFonts w:ascii="Arial" w:eastAsia="Arial" w:hAnsi="Arial" w:cs="Arial"/>
          <w:sz w:val="20"/>
          <w:szCs w:val="20"/>
        </w:rPr>
      </w:pPr>
      <w:r>
        <w:rPr>
          <w:rFonts w:ascii="Arial" w:eastAsia="Arial" w:hAnsi="Arial" w:cs="Arial"/>
          <w:sz w:val="20"/>
          <w:szCs w:val="20"/>
        </w:rPr>
        <w:t>Population projection by Statistics Indonesia:</w:t>
      </w:r>
    </w:p>
    <w:p w14:paraId="58686A1E"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48" w:name="_2eclud0" w:colFirst="0" w:colLast="0"/>
      <w:bookmarkEnd w:id="148"/>
      <w:r>
        <w:rPr>
          <w:rFonts w:ascii="Arial" w:eastAsia="Arial" w:hAnsi="Arial" w:cs="Arial"/>
          <w:b/>
          <w:color w:val="000000"/>
          <w:sz w:val="20"/>
          <w:szCs w:val="20"/>
        </w:rPr>
        <w:t>Table 11. Indonesia population statistics</w:t>
      </w:r>
    </w:p>
    <w:tbl>
      <w:tblPr>
        <w:tblStyle w:val="ae"/>
        <w:tblW w:w="9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A031A6" w14:paraId="250DB031" w14:textId="77777777">
        <w:trPr>
          <w:trHeight w:val="340"/>
        </w:trPr>
        <w:tc>
          <w:tcPr>
            <w:tcW w:w="4535" w:type="dxa"/>
            <w:shd w:val="clear" w:color="auto" w:fill="808080"/>
            <w:vAlign w:val="center"/>
          </w:tcPr>
          <w:p w14:paraId="38BBDC29" w14:textId="77777777" w:rsidR="00A031A6" w:rsidRDefault="00916FD0">
            <w:pPr>
              <w:jc w:val="center"/>
              <w:rPr>
                <w:rFonts w:ascii="Arial" w:eastAsia="Arial" w:hAnsi="Arial" w:cs="Arial"/>
                <w:color w:val="FFFFFF"/>
                <w:sz w:val="20"/>
                <w:szCs w:val="20"/>
              </w:rPr>
            </w:pPr>
            <w:bookmarkStart w:id="149" w:name="_thw4kt" w:colFirst="0" w:colLast="0"/>
            <w:bookmarkEnd w:id="149"/>
            <w:r>
              <w:rPr>
                <w:rFonts w:ascii="Arial" w:eastAsia="Arial" w:hAnsi="Arial" w:cs="Arial"/>
                <w:color w:val="FFFFFF"/>
                <w:sz w:val="20"/>
                <w:szCs w:val="20"/>
              </w:rPr>
              <w:t>Year</w:t>
            </w:r>
          </w:p>
        </w:tc>
        <w:tc>
          <w:tcPr>
            <w:tcW w:w="4535" w:type="dxa"/>
            <w:shd w:val="clear" w:color="auto" w:fill="808080"/>
            <w:vAlign w:val="center"/>
          </w:tcPr>
          <w:p w14:paraId="19F9F3E1"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Thousand People</w:t>
            </w:r>
          </w:p>
        </w:tc>
      </w:tr>
      <w:tr w:rsidR="00A031A6" w14:paraId="60F53933" w14:textId="77777777">
        <w:trPr>
          <w:trHeight w:val="340"/>
        </w:trPr>
        <w:tc>
          <w:tcPr>
            <w:tcW w:w="4535" w:type="dxa"/>
            <w:vAlign w:val="center"/>
          </w:tcPr>
          <w:p w14:paraId="192D1D26"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2010</w:t>
            </w:r>
          </w:p>
        </w:tc>
        <w:tc>
          <w:tcPr>
            <w:tcW w:w="4535" w:type="dxa"/>
            <w:vAlign w:val="center"/>
          </w:tcPr>
          <w:p w14:paraId="72C3EA02"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238518.8</w:t>
            </w:r>
          </w:p>
        </w:tc>
      </w:tr>
      <w:tr w:rsidR="00A031A6" w14:paraId="489F4556" w14:textId="77777777">
        <w:trPr>
          <w:trHeight w:val="340"/>
        </w:trPr>
        <w:tc>
          <w:tcPr>
            <w:tcW w:w="4535" w:type="dxa"/>
            <w:vAlign w:val="center"/>
          </w:tcPr>
          <w:p w14:paraId="3AA037B6"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2015</w:t>
            </w:r>
          </w:p>
        </w:tc>
        <w:tc>
          <w:tcPr>
            <w:tcW w:w="4535" w:type="dxa"/>
            <w:vAlign w:val="center"/>
          </w:tcPr>
          <w:p w14:paraId="2F862752"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255461.7</w:t>
            </w:r>
          </w:p>
        </w:tc>
      </w:tr>
      <w:tr w:rsidR="00A031A6" w14:paraId="7873B399" w14:textId="77777777">
        <w:trPr>
          <w:trHeight w:val="340"/>
        </w:trPr>
        <w:tc>
          <w:tcPr>
            <w:tcW w:w="4535" w:type="dxa"/>
            <w:vAlign w:val="center"/>
          </w:tcPr>
          <w:p w14:paraId="2133D833"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2020</w:t>
            </w:r>
          </w:p>
        </w:tc>
        <w:tc>
          <w:tcPr>
            <w:tcW w:w="4535" w:type="dxa"/>
            <w:vAlign w:val="center"/>
          </w:tcPr>
          <w:p w14:paraId="5CF9DBD7"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271066.4</w:t>
            </w:r>
          </w:p>
        </w:tc>
      </w:tr>
      <w:tr w:rsidR="00A031A6" w14:paraId="3ADF52B0" w14:textId="77777777">
        <w:trPr>
          <w:trHeight w:val="340"/>
        </w:trPr>
        <w:tc>
          <w:tcPr>
            <w:tcW w:w="4535" w:type="dxa"/>
            <w:vAlign w:val="center"/>
          </w:tcPr>
          <w:p w14:paraId="09BDF563"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2025</w:t>
            </w:r>
          </w:p>
        </w:tc>
        <w:tc>
          <w:tcPr>
            <w:tcW w:w="4535" w:type="dxa"/>
            <w:vAlign w:val="center"/>
          </w:tcPr>
          <w:p w14:paraId="577B93BB"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284289.0</w:t>
            </w:r>
          </w:p>
        </w:tc>
      </w:tr>
      <w:tr w:rsidR="00A031A6" w14:paraId="156C1DB6" w14:textId="77777777">
        <w:trPr>
          <w:trHeight w:val="340"/>
        </w:trPr>
        <w:tc>
          <w:tcPr>
            <w:tcW w:w="4535" w:type="dxa"/>
            <w:vAlign w:val="center"/>
          </w:tcPr>
          <w:p w14:paraId="2473F70A"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2030</w:t>
            </w:r>
          </w:p>
        </w:tc>
        <w:tc>
          <w:tcPr>
            <w:tcW w:w="4535" w:type="dxa"/>
            <w:vAlign w:val="center"/>
          </w:tcPr>
          <w:p w14:paraId="0FD910F4"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296405.1</w:t>
            </w:r>
          </w:p>
        </w:tc>
      </w:tr>
      <w:tr w:rsidR="00A031A6" w14:paraId="53E32A37" w14:textId="77777777">
        <w:trPr>
          <w:trHeight w:val="340"/>
        </w:trPr>
        <w:tc>
          <w:tcPr>
            <w:tcW w:w="4535" w:type="dxa"/>
            <w:vAlign w:val="center"/>
          </w:tcPr>
          <w:p w14:paraId="6FBC8404"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2035</w:t>
            </w:r>
          </w:p>
        </w:tc>
        <w:tc>
          <w:tcPr>
            <w:tcW w:w="4535" w:type="dxa"/>
            <w:vAlign w:val="center"/>
          </w:tcPr>
          <w:p w14:paraId="2E21706F"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305602.4</w:t>
            </w:r>
          </w:p>
        </w:tc>
      </w:tr>
    </w:tbl>
    <w:p w14:paraId="4CD75C4B" w14:textId="77777777" w:rsidR="00A031A6" w:rsidRDefault="00A031A6">
      <w:pPr>
        <w:rPr>
          <w:rFonts w:ascii="Arial" w:eastAsia="Arial" w:hAnsi="Arial" w:cs="Arial"/>
          <w:b/>
          <w:sz w:val="20"/>
          <w:szCs w:val="20"/>
        </w:rPr>
      </w:pPr>
    </w:p>
    <w:p w14:paraId="7CFC7AB1" w14:textId="77777777" w:rsidR="00A031A6" w:rsidRDefault="00916FD0">
      <w:pPr>
        <w:pStyle w:val="Heading3"/>
        <w:ind w:firstLine="716"/>
      </w:pPr>
      <w:bookmarkStart w:id="150" w:name="_Toc62221459"/>
      <w:r>
        <w:t>Household size</w:t>
      </w:r>
      <w:bookmarkEnd w:id="150"/>
    </w:p>
    <w:p w14:paraId="7CFBC325" w14:textId="77777777" w:rsidR="00A031A6" w:rsidRDefault="00916FD0">
      <w:pPr>
        <w:rPr>
          <w:rFonts w:ascii="Arial" w:eastAsia="Arial" w:hAnsi="Arial" w:cs="Arial"/>
          <w:sz w:val="20"/>
          <w:szCs w:val="20"/>
        </w:rPr>
      </w:pPr>
      <w:r>
        <w:rPr>
          <w:rFonts w:ascii="Arial" w:eastAsia="Arial" w:hAnsi="Arial" w:cs="Arial"/>
          <w:sz w:val="20"/>
          <w:szCs w:val="20"/>
        </w:rPr>
        <w:t>Assumption used in National Energy Planning (RUEN).</w:t>
      </w:r>
    </w:p>
    <w:p w14:paraId="617A638B"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1" w:name="_1smtxgf" w:colFirst="0" w:colLast="0"/>
      <w:bookmarkEnd w:id="151"/>
      <w:r>
        <w:rPr>
          <w:rFonts w:ascii="Arial" w:eastAsia="Arial" w:hAnsi="Arial" w:cs="Arial"/>
          <w:b/>
          <w:color w:val="000000"/>
          <w:sz w:val="20"/>
          <w:szCs w:val="20"/>
        </w:rPr>
        <w:t>Table 12. Household size</w:t>
      </w:r>
    </w:p>
    <w:tbl>
      <w:tblPr>
        <w:tblStyle w:val="af"/>
        <w:tblW w:w="9072" w:type="dxa"/>
        <w:tblLayout w:type="fixed"/>
        <w:tblLook w:val="0400" w:firstRow="0" w:lastRow="0" w:firstColumn="0" w:lastColumn="0" w:noHBand="0" w:noVBand="1"/>
      </w:tblPr>
      <w:tblGrid>
        <w:gridCol w:w="2268"/>
        <w:gridCol w:w="2268"/>
        <w:gridCol w:w="2268"/>
        <w:gridCol w:w="2268"/>
      </w:tblGrid>
      <w:tr w:rsidR="00A031A6" w14:paraId="58AC6E01" w14:textId="77777777">
        <w:trPr>
          <w:trHeight w:val="340"/>
        </w:trPr>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F49A423"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72AA7FC"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Household size</w:t>
            </w:r>
          </w:p>
        </w:tc>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A7B3D25"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4E5A309"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Household size</w:t>
            </w:r>
          </w:p>
        </w:tc>
      </w:tr>
      <w:tr w:rsidR="00A031A6" w14:paraId="02B45811" w14:textId="77777777">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14:paraId="6A04FF1E"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2019</w:t>
            </w:r>
          </w:p>
        </w:tc>
        <w:tc>
          <w:tcPr>
            <w:tcW w:w="2268" w:type="dxa"/>
            <w:tcBorders>
              <w:top w:val="single" w:sz="4" w:space="0" w:color="000000"/>
              <w:left w:val="single" w:sz="4" w:space="0" w:color="000000"/>
              <w:bottom w:val="single" w:sz="4" w:space="0" w:color="000000"/>
              <w:right w:val="single" w:sz="4" w:space="0" w:color="000000"/>
            </w:tcBorders>
            <w:vAlign w:val="center"/>
          </w:tcPr>
          <w:p w14:paraId="5CBC0B2C"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14:paraId="350578B1"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2025</w:t>
            </w:r>
          </w:p>
        </w:tc>
        <w:tc>
          <w:tcPr>
            <w:tcW w:w="2268" w:type="dxa"/>
            <w:tcBorders>
              <w:top w:val="single" w:sz="4" w:space="0" w:color="000000"/>
              <w:left w:val="single" w:sz="4" w:space="0" w:color="000000"/>
              <w:bottom w:val="single" w:sz="4" w:space="0" w:color="000000"/>
              <w:right w:val="single" w:sz="4" w:space="0" w:color="000000"/>
            </w:tcBorders>
            <w:vAlign w:val="center"/>
          </w:tcPr>
          <w:p w14:paraId="2DF3F2BF"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14:paraId="1D927514" w14:textId="77777777">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14:paraId="5BA32D03"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2020</w:t>
            </w:r>
          </w:p>
        </w:tc>
        <w:tc>
          <w:tcPr>
            <w:tcW w:w="2268" w:type="dxa"/>
            <w:tcBorders>
              <w:top w:val="single" w:sz="4" w:space="0" w:color="000000"/>
              <w:left w:val="single" w:sz="4" w:space="0" w:color="000000"/>
              <w:bottom w:val="single" w:sz="4" w:space="0" w:color="000000"/>
              <w:right w:val="single" w:sz="4" w:space="0" w:color="000000"/>
            </w:tcBorders>
            <w:vAlign w:val="center"/>
          </w:tcPr>
          <w:p w14:paraId="1E02A5B5"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14:paraId="669BE486"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2026</w:t>
            </w:r>
          </w:p>
        </w:tc>
        <w:tc>
          <w:tcPr>
            <w:tcW w:w="2268" w:type="dxa"/>
            <w:tcBorders>
              <w:top w:val="single" w:sz="4" w:space="0" w:color="000000"/>
              <w:left w:val="single" w:sz="4" w:space="0" w:color="000000"/>
              <w:bottom w:val="single" w:sz="4" w:space="0" w:color="000000"/>
              <w:right w:val="single" w:sz="4" w:space="0" w:color="000000"/>
            </w:tcBorders>
            <w:vAlign w:val="center"/>
          </w:tcPr>
          <w:p w14:paraId="059AC55F"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14:paraId="46299D1A" w14:textId="77777777">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14:paraId="16A23026"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2021</w:t>
            </w:r>
          </w:p>
        </w:tc>
        <w:tc>
          <w:tcPr>
            <w:tcW w:w="2268" w:type="dxa"/>
            <w:tcBorders>
              <w:top w:val="single" w:sz="4" w:space="0" w:color="000000"/>
              <w:left w:val="single" w:sz="4" w:space="0" w:color="000000"/>
              <w:bottom w:val="single" w:sz="4" w:space="0" w:color="000000"/>
              <w:right w:val="single" w:sz="4" w:space="0" w:color="000000"/>
            </w:tcBorders>
            <w:vAlign w:val="center"/>
          </w:tcPr>
          <w:p w14:paraId="671DD7E7"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14:paraId="7EF0984C"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2027</w:t>
            </w:r>
          </w:p>
        </w:tc>
        <w:tc>
          <w:tcPr>
            <w:tcW w:w="2268" w:type="dxa"/>
            <w:tcBorders>
              <w:top w:val="single" w:sz="4" w:space="0" w:color="000000"/>
              <w:left w:val="single" w:sz="4" w:space="0" w:color="000000"/>
              <w:bottom w:val="single" w:sz="4" w:space="0" w:color="000000"/>
              <w:right w:val="single" w:sz="4" w:space="0" w:color="000000"/>
            </w:tcBorders>
            <w:vAlign w:val="center"/>
          </w:tcPr>
          <w:p w14:paraId="6F0FA493"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14:paraId="2D1EE900" w14:textId="77777777">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14:paraId="457CD878"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2022</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94E41"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14:paraId="6B8C0B92"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2028</w:t>
            </w:r>
          </w:p>
        </w:tc>
        <w:tc>
          <w:tcPr>
            <w:tcW w:w="2268" w:type="dxa"/>
            <w:tcBorders>
              <w:top w:val="single" w:sz="4" w:space="0" w:color="000000"/>
              <w:left w:val="single" w:sz="4" w:space="0" w:color="000000"/>
              <w:bottom w:val="single" w:sz="4" w:space="0" w:color="000000"/>
              <w:right w:val="single" w:sz="4" w:space="0" w:color="000000"/>
            </w:tcBorders>
            <w:vAlign w:val="center"/>
          </w:tcPr>
          <w:p w14:paraId="76A4D8D2"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14:paraId="0DF2B641" w14:textId="77777777">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14:paraId="15DD7075"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lastRenderedPageBreak/>
              <w:t>2023</w:t>
            </w:r>
          </w:p>
        </w:tc>
        <w:tc>
          <w:tcPr>
            <w:tcW w:w="2268" w:type="dxa"/>
            <w:tcBorders>
              <w:top w:val="single" w:sz="4" w:space="0" w:color="000000"/>
              <w:left w:val="single" w:sz="4" w:space="0" w:color="000000"/>
              <w:bottom w:val="single" w:sz="4" w:space="0" w:color="000000"/>
              <w:right w:val="single" w:sz="4" w:space="0" w:color="000000"/>
            </w:tcBorders>
            <w:vAlign w:val="center"/>
          </w:tcPr>
          <w:p w14:paraId="6B2FE89B"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14:paraId="27FB73AD"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2029</w:t>
            </w:r>
          </w:p>
        </w:tc>
        <w:tc>
          <w:tcPr>
            <w:tcW w:w="2268" w:type="dxa"/>
            <w:tcBorders>
              <w:top w:val="single" w:sz="4" w:space="0" w:color="000000"/>
              <w:left w:val="single" w:sz="4" w:space="0" w:color="000000"/>
              <w:bottom w:val="single" w:sz="4" w:space="0" w:color="000000"/>
              <w:right w:val="single" w:sz="4" w:space="0" w:color="000000"/>
            </w:tcBorders>
            <w:vAlign w:val="center"/>
          </w:tcPr>
          <w:p w14:paraId="749186F1"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r w:rsidR="00A031A6" w14:paraId="684D5088" w14:textId="77777777">
        <w:trPr>
          <w:trHeight w:val="340"/>
        </w:trPr>
        <w:tc>
          <w:tcPr>
            <w:tcW w:w="2268" w:type="dxa"/>
            <w:tcBorders>
              <w:top w:val="single" w:sz="4" w:space="0" w:color="000000"/>
              <w:left w:val="single" w:sz="4" w:space="0" w:color="000000"/>
              <w:bottom w:val="single" w:sz="4" w:space="0" w:color="000000"/>
              <w:right w:val="single" w:sz="4" w:space="0" w:color="000000"/>
            </w:tcBorders>
            <w:vAlign w:val="center"/>
          </w:tcPr>
          <w:p w14:paraId="334681E7"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2024</w:t>
            </w:r>
          </w:p>
        </w:tc>
        <w:tc>
          <w:tcPr>
            <w:tcW w:w="2268" w:type="dxa"/>
            <w:tcBorders>
              <w:top w:val="single" w:sz="4" w:space="0" w:color="000000"/>
              <w:left w:val="single" w:sz="4" w:space="0" w:color="000000"/>
              <w:bottom w:val="single" w:sz="4" w:space="0" w:color="000000"/>
              <w:right w:val="single" w:sz="4" w:space="0" w:color="000000"/>
            </w:tcBorders>
            <w:vAlign w:val="center"/>
          </w:tcPr>
          <w:p w14:paraId="32F24DCA"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3.8</w:t>
            </w:r>
          </w:p>
        </w:tc>
        <w:tc>
          <w:tcPr>
            <w:tcW w:w="2268" w:type="dxa"/>
            <w:tcBorders>
              <w:top w:val="single" w:sz="4" w:space="0" w:color="000000"/>
              <w:left w:val="single" w:sz="4" w:space="0" w:color="000000"/>
              <w:bottom w:val="single" w:sz="4" w:space="0" w:color="000000"/>
              <w:right w:val="single" w:sz="4" w:space="0" w:color="000000"/>
            </w:tcBorders>
            <w:vAlign w:val="center"/>
          </w:tcPr>
          <w:p w14:paraId="149F142E"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2030</w:t>
            </w:r>
          </w:p>
        </w:tc>
        <w:tc>
          <w:tcPr>
            <w:tcW w:w="2268" w:type="dxa"/>
            <w:tcBorders>
              <w:top w:val="single" w:sz="4" w:space="0" w:color="000000"/>
              <w:left w:val="single" w:sz="4" w:space="0" w:color="000000"/>
              <w:bottom w:val="single" w:sz="4" w:space="0" w:color="000000"/>
              <w:right w:val="single" w:sz="4" w:space="0" w:color="000000"/>
            </w:tcBorders>
            <w:vAlign w:val="center"/>
          </w:tcPr>
          <w:p w14:paraId="35D5DB5D"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3.7</w:t>
            </w:r>
          </w:p>
        </w:tc>
      </w:tr>
    </w:tbl>
    <w:p w14:paraId="791751C3" w14:textId="77777777" w:rsidR="00A031A6" w:rsidRDefault="00A031A6"/>
    <w:p w14:paraId="0EA89650" w14:textId="77777777" w:rsidR="00A031A6" w:rsidRDefault="00916FD0">
      <w:pPr>
        <w:pStyle w:val="Heading3"/>
        <w:ind w:firstLine="716"/>
      </w:pPr>
      <w:bookmarkStart w:id="152" w:name="_Toc62221460"/>
      <w:r>
        <w:t>Commercial floor space</w:t>
      </w:r>
      <w:bookmarkEnd w:id="152"/>
    </w:p>
    <w:p w14:paraId="749B20E6" w14:textId="77777777" w:rsidR="00A031A6" w:rsidRDefault="00916FD0">
      <w:pPr>
        <w:spacing w:line="360" w:lineRule="auto"/>
        <w:rPr>
          <w:rFonts w:ascii="Arial" w:eastAsia="Arial" w:hAnsi="Arial" w:cs="Arial"/>
          <w:sz w:val="20"/>
          <w:szCs w:val="20"/>
        </w:rPr>
      </w:pPr>
      <w:r>
        <w:rPr>
          <w:rFonts w:ascii="Arial" w:eastAsia="Arial" w:hAnsi="Arial" w:cs="Arial"/>
          <w:sz w:val="20"/>
          <w:szCs w:val="20"/>
        </w:rPr>
        <w:t>The assumption used in National Energy Planning is adjusted with the GDP growth used in moderate scenario of medium-term National Development Planning (RPJMN 2020-2024)</w:t>
      </w:r>
    </w:p>
    <w:p w14:paraId="7E4A0D57"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3" w:name="_2rrrqc1" w:colFirst="0" w:colLast="0"/>
      <w:bookmarkEnd w:id="153"/>
      <w:r>
        <w:rPr>
          <w:rFonts w:ascii="Arial" w:eastAsia="Arial" w:hAnsi="Arial" w:cs="Arial"/>
          <w:b/>
          <w:color w:val="000000"/>
          <w:sz w:val="20"/>
          <w:szCs w:val="20"/>
        </w:rPr>
        <w:t>Table 13. Commercial floor space</w:t>
      </w:r>
    </w:p>
    <w:tbl>
      <w:tblPr>
        <w:tblStyle w:val="af0"/>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A031A6" w14:paraId="3B4ED1B4" w14:textId="77777777">
        <w:trPr>
          <w:trHeight w:val="340"/>
        </w:trPr>
        <w:tc>
          <w:tcPr>
            <w:tcW w:w="2268" w:type="dxa"/>
            <w:shd w:val="clear" w:color="auto" w:fill="808080"/>
            <w:vAlign w:val="center"/>
          </w:tcPr>
          <w:p w14:paraId="79EEB11F"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shd w:val="clear" w:color="auto" w:fill="808080"/>
            <w:vAlign w:val="center"/>
          </w:tcPr>
          <w:p w14:paraId="550DEF77"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million m</w:t>
            </w:r>
            <w:r>
              <w:rPr>
                <w:rFonts w:ascii="Arial" w:eastAsia="Arial" w:hAnsi="Arial" w:cs="Arial"/>
                <w:color w:val="FFFFFF"/>
                <w:sz w:val="20"/>
                <w:szCs w:val="20"/>
                <w:vertAlign w:val="superscript"/>
              </w:rPr>
              <w:t>2</w:t>
            </w:r>
          </w:p>
        </w:tc>
        <w:tc>
          <w:tcPr>
            <w:tcW w:w="2268" w:type="dxa"/>
            <w:shd w:val="clear" w:color="auto" w:fill="808080"/>
            <w:vAlign w:val="center"/>
          </w:tcPr>
          <w:p w14:paraId="12A89627"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Year</w:t>
            </w:r>
          </w:p>
        </w:tc>
        <w:tc>
          <w:tcPr>
            <w:tcW w:w="2268" w:type="dxa"/>
            <w:shd w:val="clear" w:color="auto" w:fill="808080"/>
            <w:vAlign w:val="center"/>
          </w:tcPr>
          <w:p w14:paraId="68951B8D" w14:textId="77777777" w:rsidR="00A031A6" w:rsidRDefault="00916FD0">
            <w:pPr>
              <w:jc w:val="center"/>
              <w:rPr>
                <w:rFonts w:ascii="Arial" w:eastAsia="Arial" w:hAnsi="Arial" w:cs="Arial"/>
                <w:color w:val="FFFFFF"/>
                <w:sz w:val="20"/>
                <w:szCs w:val="20"/>
              </w:rPr>
            </w:pPr>
            <w:r>
              <w:rPr>
                <w:rFonts w:ascii="Arial" w:eastAsia="Arial" w:hAnsi="Arial" w:cs="Arial"/>
                <w:color w:val="FFFFFF"/>
                <w:sz w:val="20"/>
                <w:szCs w:val="20"/>
              </w:rPr>
              <w:t>million m</w:t>
            </w:r>
            <w:r>
              <w:rPr>
                <w:rFonts w:ascii="Arial" w:eastAsia="Arial" w:hAnsi="Arial" w:cs="Arial"/>
                <w:color w:val="FFFFFF"/>
                <w:sz w:val="20"/>
                <w:szCs w:val="20"/>
                <w:vertAlign w:val="superscript"/>
              </w:rPr>
              <w:t>2</w:t>
            </w:r>
          </w:p>
        </w:tc>
      </w:tr>
      <w:tr w:rsidR="00A031A6" w14:paraId="614F6E46" w14:textId="77777777">
        <w:trPr>
          <w:trHeight w:val="340"/>
        </w:trPr>
        <w:tc>
          <w:tcPr>
            <w:tcW w:w="2268" w:type="dxa"/>
            <w:vAlign w:val="center"/>
          </w:tcPr>
          <w:p w14:paraId="59CFCC4B"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2019</w:t>
            </w:r>
          </w:p>
        </w:tc>
        <w:tc>
          <w:tcPr>
            <w:tcW w:w="2268" w:type="dxa"/>
            <w:vAlign w:val="center"/>
          </w:tcPr>
          <w:p w14:paraId="13DD3449"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929.102</w:t>
            </w:r>
          </w:p>
        </w:tc>
        <w:tc>
          <w:tcPr>
            <w:tcW w:w="2268" w:type="dxa"/>
            <w:vAlign w:val="center"/>
          </w:tcPr>
          <w:p w14:paraId="282BA299"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2025</w:t>
            </w:r>
          </w:p>
        </w:tc>
        <w:tc>
          <w:tcPr>
            <w:tcW w:w="2268" w:type="dxa"/>
            <w:vAlign w:val="center"/>
          </w:tcPr>
          <w:p w14:paraId="2D098566"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1364.208</w:t>
            </w:r>
          </w:p>
        </w:tc>
      </w:tr>
      <w:tr w:rsidR="00A031A6" w14:paraId="01B6D208" w14:textId="77777777">
        <w:trPr>
          <w:trHeight w:val="340"/>
        </w:trPr>
        <w:tc>
          <w:tcPr>
            <w:tcW w:w="2268" w:type="dxa"/>
            <w:vAlign w:val="center"/>
          </w:tcPr>
          <w:p w14:paraId="3F465390"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2020</w:t>
            </w:r>
          </w:p>
        </w:tc>
        <w:tc>
          <w:tcPr>
            <w:tcW w:w="2268" w:type="dxa"/>
            <w:vAlign w:val="center"/>
          </w:tcPr>
          <w:p w14:paraId="080096E1"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985.238</w:t>
            </w:r>
          </w:p>
        </w:tc>
        <w:tc>
          <w:tcPr>
            <w:tcW w:w="2268" w:type="dxa"/>
            <w:vAlign w:val="center"/>
          </w:tcPr>
          <w:p w14:paraId="19A8E7DE"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2026</w:t>
            </w:r>
          </w:p>
        </w:tc>
        <w:tc>
          <w:tcPr>
            <w:tcW w:w="2268" w:type="dxa"/>
            <w:vAlign w:val="center"/>
          </w:tcPr>
          <w:p w14:paraId="7FD3F6FA"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1460.630</w:t>
            </w:r>
          </w:p>
        </w:tc>
      </w:tr>
      <w:tr w:rsidR="00A031A6" w14:paraId="7D3AF32D" w14:textId="77777777">
        <w:trPr>
          <w:trHeight w:val="340"/>
        </w:trPr>
        <w:tc>
          <w:tcPr>
            <w:tcW w:w="2268" w:type="dxa"/>
            <w:vAlign w:val="center"/>
          </w:tcPr>
          <w:p w14:paraId="5DA41E19"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2021</w:t>
            </w:r>
          </w:p>
        </w:tc>
        <w:tc>
          <w:tcPr>
            <w:tcW w:w="2268" w:type="dxa"/>
            <w:vAlign w:val="center"/>
          </w:tcPr>
          <w:p w14:paraId="7C2390D4"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1045.890</w:t>
            </w:r>
          </w:p>
        </w:tc>
        <w:tc>
          <w:tcPr>
            <w:tcW w:w="2268" w:type="dxa"/>
            <w:vAlign w:val="center"/>
          </w:tcPr>
          <w:p w14:paraId="7B780D7F"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2027</w:t>
            </w:r>
          </w:p>
        </w:tc>
        <w:tc>
          <w:tcPr>
            <w:tcW w:w="2268" w:type="dxa"/>
            <w:vAlign w:val="center"/>
          </w:tcPr>
          <w:p w14:paraId="47AAC456"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1563.868</w:t>
            </w:r>
          </w:p>
        </w:tc>
      </w:tr>
      <w:tr w:rsidR="00A031A6" w14:paraId="3906833C" w14:textId="77777777">
        <w:trPr>
          <w:trHeight w:val="340"/>
        </w:trPr>
        <w:tc>
          <w:tcPr>
            <w:tcW w:w="2268" w:type="dxa"/>
            <w:vAlign w:val="center"/>
          </w:tcPr>
          <w:p w14:paraId="599000AE"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2022</w:t>
            </w:r>
          </w:p>
        </w:tc>
        <w:tc>
          <w:tcPr>
            <w:tcW w:w="2268" w:type="dxa"/>
            <w:vAlign w:val="center"/>
          </w:tcPr>
          <w:p w14:paraId="0476EC74"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1113.852</w:t>
            </w:r>
          </w:p>
        </w:tc>
        <w:tc>
          <w:tcPr>
            <w:tcW w:w="2268" w:type="dxa"/>
            <w:vAlign w:val="center"/>
          </w:tcPr>
          <w:p w14:paraId="6159DE6D"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2028</w:t>
            </w:r>
          </w:p>
        </w:tc>
        <w:tc>
          <w:tcPr>
            <w:tcW w:w="2268" w:type="dxa"/>
            <w:vAlign w:val="center"/>
          </w:tcPr>
          <w:p w14:paraId="4FB6F5F4"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1674.402</w:t>
            </w:r>
          </w:p>
        </w:tc>
      </w:tr>
      <w:tr w:rsidR="00A031A6" w14:paraId="4E798316" w14:textId="77777777">
        <w:trPr>
          <w:trHeight w:val="340"/>
        </w:trPr>
        <w:tc>
          <w:tcPr>
            <w:tcW w:w="2268" w:type="dxa"/>
            <w:vAlign w:val="center"/>
          </w:tcPr>
          <w:p w14:paraId="49E5565C"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2023</w:t>
            </w:r>
          </w:p>
        </w:tc>
        <w:tc>
          <w:tcPr>
            <w:tcW w:w="2268" w:type="dxa"/>
            <w:vAlign w:val="center"/>
          </w:tcPr>
          <w:p w14:paraId="7E2EDEC9"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1190.039</w:t>
            </w:r>
          </w:p>
        </w:tc>
        <w:tc>
          <w:tcPr>
            <w:tcW w:w="2268" w:type="dxa"/>
            <w:vAlign w:val="center"/>
          </w:tcPr>
          <w:p w14:paraId="6725BD47"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2029</w:t>
            </w:r>
          </w:p>
        </w:tc>
        <w:tc>
          <w:tcPr>
            <w:tcW w:w="2268" w:type="dxa"/>
            <w:vAlign w:val="center"/>
          </w:tcPr>
          <w:p w14:paraId="2DDB3B2A"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1792.748</w:t>
            </w:r>
          </w:p>
        </w:tc>
      </w:tr>
      <w:tr w:rsidR="00A031A6" w14:paraId="1BFD1864" w14:textId="77777777">
        <w:trPr>
          <w:trHeight w:val="340"/>
        </w:trPr>
        <w:tc>
          <w:tcPr>
            <w:tcW w:w="2268" w:type="dxa"/>
            <w:vAlign w:val="center"/>
          </w:tcPr>
          <w:p w14:paraId="26A6D21D"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2024</w:t>
            </w:r>
          </w:p>
        </w:tc>
        <w:tc>
          <w:tcPr>
            <w:tcW w:w="2268" w:type="dxa"/>
            <w:vAlign w:val="center"/>
          </w:tcPr>
          <w:p w14:paraId="68D76452"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1274.151</w:t>
            </w:r>
          </w:p>
        </w:tc>
        <w:tc>
          <w:tcPr>
            <w:tcW w:w="2268" w:type="dxa"/>
            <w:vAlign w:val="center"/>
          </w:tcPr>
          <w:p w14:paraId="2A308A10"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2030</w:t>
            </w:r>
          </w:p>
        </w:tc>
        <w:tc>
          <w:tcPr>
            <w:tcW w:w="2268" w:type="dxa"/>
            <w:vAlign w:val="center"/>
          </w:tcPr>
          <w:p w14:paraId="232D4D59" w14:textId="77777777" w:rsidR="00A031A6" w:rsidRDefault="00916FD0">
            <w:pPr>
              <w:jc w:val="center"/>
              <w:rPr>
                <w:rFonts w:ascii="Arial" w:eastAsia="Arial" w:hAnsi="Arial" w:cs="Arial"/>
                <w:color w:val="000000"/>
                <w:sz w:val="20"/>
                <w:szCs w:val="20"/>
              </w:rPr>
            </w:pPr>
            <w:r>
              <w:rPr>
                <w:rFonts w:ascii="Arial" w:eastAsia="Arial" w:hAnsi="Arial" w:cs="Arial"/>
                <w:color w:val="000000"/>
                <w:sz w:val="20"/>
                <w:szCs w:val="20"/>
              </w:rPr>
              <w:t>1919.460</w:t>
            </w:r>
          </w:p>
        </w:tc>
      </w:tr>
    </w:tbl>
    <w:p w14:paraId="579D6BA0" w14:textId="77777777" w:rsidR="00A031A6" w:rsidRDefault="00A031A6">
      <w:pPr>
        <w:rPr>
          <w:rFonts w:ascii="Arial" w:eastAsia="Arial" w:hAnsi="Arial" w:cs="Arial"/>
          <w:b/>
          <w:sz w:val="20"/>
          <w:szCs w:val="20"/>
        </w:rPr>
      </w:pPr>
    </w:p>
    <w:p w14:paraId="4D36B4E9" w14:textId="77777777" w:rsidR="00A031A6" w:rsidRDefault="00916FD0">
      <w:pPr>
        <w:pStyle w:val="Heading3"/>
        <w:ind w:firstLine="716"/>
      </w:pPr>
      <w:bookmarkStart w:id="154" w:name="_Toc62221461"/>
      <w:r>
        <w:t>Demand</w:t>
      </w:r>
      <w:bookmarkEnd w:id="154"/>
    </w:p>
    <w:p w14:paraId="46C73C0A" w14:textId="77777777" w:rsidR="00A031A6" w:rsidRDefault="00916FD0">
      <w:pPr>
        <w:pStyle w:val="Heading3"/>
        <w:ind w:firstLine="716"/>
      </w:pPr>
      <w:bookmarkStart w:id="155" w:name="_Toc62221462"/>
      <w:r>
        <w:t>Industry:</w:t>
      </w:r>
      <w:bookmarkEnd w:id="155"/>
    </w:p>
    <w:p w14:paraId="64572CF6" w14:textId="77777777" w:rsidR="00A031A6" w:rsidRDefault="00916FD0">
      <w:pPr>
        <w:rPr>
          <w:rFonts w:ascii="Arial" w:eastAsia="Arial" w:hAnsi="Arial" w:cs="Arial"/>
          <w:b/>
          <w:sz w:val="20"/>
          <w:szCs w:val="20"/>
        </w:rPr>
      </w:pPr>
      <w:r>
        <w:rPr>
          <w:rFonts w:ascii="Arial" w:eastAsia="Arial" w:hAnsi="Arial" w:cs="Arial"/>
          <w:sz w:val="20"/>
          <w:szCs w:val="20"/>
        </w:rPr>
        <w:t>GDP elasticity: Assumption used in National Energy Planning (RUEN): 1.03</w:t>
      </w:r>
    </w:p>
    <w:p w14:paraId="7F64D7B1" w14:textId="77777777" w:rsidR="00A031A6" w:rsidRDefault="00916FD0">
      <w:pPr>
        <w:pStyle w:val="Heading3"/>
        <w:ind w:firstLine="716"/>
      </w:pPr>
      <w:bookmarkStart w:id="156" w:name="_Toc62221463"/>
      <w:r>
        <w:t>Transportation:</w:t>
      </w:r>
      <w:bookmarkEnd w:id="156"/>
    </w:p>
    <w:p w14:paraId="5AB3AAF1"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Activity level</w:t>
      </w:r>
      <w:r>
        <w:rPr>
          <w:rFonts w:ascii="Arial" w:eastAsia="Arial" w:hAnsi="Arial" w:cs="Arial"/>
          <w:b/>
          <w:sz w:val="20"/>
          <w:szCs w:val="20"/>
        </w:rPr>
        <w:t xml:space="preserve">: </w:t>
      </w:r>
      <w:r>
        <w:rPr>
          <w:rFonts w:ascii="Arial" w:eastAsia="Arial" w:hAnsi="Arial" w:cs="Arial"/>
          <w:sz w:val="20"/>
          <w:szCs w:val="20"/>
        </w:rPr>
        <w:t>Assumption used in National Energy Planning, adjusted with the GDP growth used in moderate scenario of Medium-term National Development Planning (RPJMN 2020-2024).</w:t>
      </w:r>
    </w:p>
    <w:p w14:paraId="39B1D351"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7" w:name="_l7a3n9" w:colFirst="0" w:colLast="0"/>
      <w:bookmarkEnd w:id="157"/>
      <w:r>
        <w:rPr>
          <w:rFonts w:ascii="Arial" w:eastAsia="Arial" w:hAnsi="Arial" w:cs="Arial"/>
          <w:b/>
          <w:color w:val="000000"/>
          <w:sz w:val="20"/>
          <w:szCs w:val="20"/>
        </w:rPr>
        <w:t>Table 14. Transport, passenger-km</w:t>
      </w:r>
    </w:p>
    <w:tbl>
      <w:tblPr>
        <w:tblStyle w:val="af1"/>
        <w:tblW w:w="9099" w:type="dxa"/>
        <w:tblLayout w:type="fixed"/>
        <w:tblLook w:val="0400" w:firstRow="0" w:lastRow="0" w:firstColumn="0" w:lastColumn="0" w:noHBand="0" w:noVBand="1"/>
      </w:tblPr>
      <w:tblGrid>
        <w:gridCol w:w="4118"/>
        <w:gridCol w:w="1772"/>
        <w:gridCol w:w="1632"/>
        <w:gridCol w:w="1577"/>
      </w:tblGrid>
      <w:tr w:rsidR="00A031A6" w14:paraId="797EDE19" w14:textId="77777777">
        <w:trPr>
          <w:trHeight w:val="340"/>
        </w:trPr>
        <w:tc>
          <w:tcPr>
            <w:tcW w:w="411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76049640" w14:textId="77777777" w:rsidR="00A031A6" w:rsidRDefault="00916FD0">
            <w:pPr>
              <w:rPr>
                <w:rFonts w:ascii="Arial" w:eastAsia="Arial" w:hAnsi="Arial" w:cs="Arial"/>
                <w:color w:val="FFFFFF"/>
                <w:sz w:val="20"/>
                <w:szCs w:val="20"/>
              </w:rPr>
            </w:pPr>
            <w:r>
              <w:rPr>
                <w:rFonts w:ascii="Arial" w:eastAsia="Arial" w:hAnsi="Arial" w:cs="Arial"/>
                <w:color w:val="FFFFFF"/>
                <w:sz w:val="20"/>
                <w:szCs w:val="20"/>
              </w:rPr>
              <w:t>billion passenger-km</w:t>
            </w:r>
          </w:p>
        </w:tc>
        <w:tc>
          <w:tcPr>
            <w:tcW w:w="1772"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29050E90"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2018</w:t>
            </w:r>
          </w:p>
        </w:tc>
        <w:tc>
          <w:tcPr>
            <w:tcW w:w="1632"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420C60C9"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2025</w:t>
            </w:r>
          </w:p>
        </w:tc>
        <w:tc>
          <w:tcPr>
            <w:tcW w:w="1577"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6FE9DAE1"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2030</w:t>
            </w:r>
          </w:p>
        </w:tc>
      </w:tr>
      <w:tr w:rsidR="00A031A6" w14:paraId="1945617A" w14:textId="77777777">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14:paraId="131B68BC"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Passenger, airplane</w:t>
            </w:r>
          </w:p>
        </w:tc>
        <w:tc>
          <w:tcPr>
            <w:tcW w:w="1772" w:type="dxa"/>
            <w:tcBorders>
              <w:top w:val="single" w:sz="4" w:space="0" w:color="000000"/>
              <w:left w:val="single" w:sz="4" w:space="0" w:color="000000"/>
              <w:bottom w:val="single" w:sz="4" w:space="0" w:color="000000"/>
              <w:right w:val="single" w:sz="4" w:space="0" w:color="000000"/>
            </w:tcBorders>
            <w:vAlign w:val="bottom"/>
          </w:tcPr>
          <w:p w14:paraId="1D8DAD52"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112.106</w:t>
            </w:r>
          </w:p>
        </w:tc>
        <w:tc>
          <w:tcPr>
            <w:tcW w:w="1632" w:type="dxa"/>
            <w:tcBorders>
              <w:top w:val="single" w:sz="4" w:space="0" w:color="000000"/>
              <w:left w:val="single" w:sz="4" w:space="0" w:color="000000"/>
              <w:bottom w:val="single" w:sz="4" w:space="0" w:color="000000"/>
              <w:right w:val="single" w:sz="4" w:space="0" w:color="000000"/>
            </w:tcBorders>
            <w:vAlign w:val="bottom"/>
          </w:tcPr>
          <w:p w14:paraId="5F3EDF08"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158.261</w:t>
            </w:r>
          </w:p>
        </w:tc>
        <w:tc>
          <w:tcPr>
            <w:tcW w:w="1577" w:type="dxa"/>
            <w:tcBorders>
              <w:top w:val="single" w:sz="4" w:space="0" w:color="000000"/>
              <w:left w:val="single" w:sz="4" w:space="0" w:color="000000"/>
              <w:bottom w:val="single" w:sz="4" w:space="0" w:color="000000"/>
              <w:right w:val="single" w:sz="4" w:space="0" w:color="000000"/>
            </w:tcBorders>
            <w:vAlign w:val="bottom"/>
          </w:tcPr>
          <w:p w14:paraId="09FF113F"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206.499</w:t>
            </w:r>
          </w:p>
        </w:tc>
      </w:tr>
      <w:tr w:rsidR="00A031A6" w14:paraId="6263A4DB" w14:textId="77777777">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14:paraId="15B932A8"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Passenger, train</w:t>
            </w:r>
          </w:p>
        </w:tc>
        <w:tc>
          <w:tcPr>
            <w:tcW w:w="1772" w:type="dxa"/>
            <w:tcBorders>
              <w:top w:val="single" w:sz="4" w:space="0" w:color="000000"/>
              <w:left w:val="single" w:sz="4" w:space="0" w:color="000000"/>
              <w:bottom w:val="single" w:sz="4" w:space="0" w:color="000000"/>
              <w:right w:val="single" w:sz="4" w:space="0" w:color="000000"/>
            </w:tcBorders>
            <w:vAlign w:val="bottom"/>
          </w:tcPr>
          <w:p w14:paraId="7CD90662"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42.306</w:t>
            </w:r>
          </w:p>
        </w:tc>
        <w:tc>
          <w:tcPr>
            <w:tcW w:w="1632" w:type="dxa"/>
            <w:tcBorders>
              <w:top w:val="single" w:sz="4" w:space="0" w:color="000000"/>
              <w:left w:val="single" w:sz="4" w:space="0" w:color="000000"/>
              <w:bottom w:val="single" w:sz="4" w:space="0" w:color="000000"/>
              <w:right w:val="single" w:sz="4" w:space="0" w:color="000000"/>
            </w:tcBorders>
            <w:vAlign w:val="bottom"/>
          </w:tcPr>
          <w:p w14:paraId="2CD6D603"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88.08</w:t>
            </w:r>
          </w:p>
        </w:tc>
        <w:tc>
          <w:tcPr>
            <w:tcW w:w="1577" w:type="dxa"/>
            <w:tcBorders>
              <w:top w:val="single" w:sz="4" w:space="0" w:color="000000"/>
              <w:left w:val="single" w:sz="4" w:space="0" w:color="000000"/>
              <w:bottom w:val="single" w:sz="4" w:space="0" w:color="000000"/>
              <w:right w:val="single" w:sz="4" w:space="0" w:color="000000"/>
            </w:tcBorders>
            <w:vAlign w:val="bottom"/>
          </w:tcPr>
          <w:p w14:paraId="48DD0708"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134.81</w:t>
            </w:r>
          </w:p>
        </w:tc>
      </w:tr>
      <w:tr w:rsidR="00A031A6" w14:paraId="37BC5154" w14:textId="77777777">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14:paraId="23B8556E"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Motorcycle</w:t>
            </w:r>
          </w:p>
        </w:tc>
        <w:tc>
          <w:tcPr>
            <w:tcW w:w="1772" w:type="dxa"/>
            <w:tcBorders>
              <w:top w:val="single" w:sz="4" w:space="0" w:color="000000"/>
              <w:left w:val="single" w:sz="4" w:space="0" w:color="000000"/>
              <w:bottom w:val="single" w:sz="4" w:space="0" w:color="000000"/>
              <w:right w:val="single" w:sz="4" w:space="0" w:color="000000"/>
            </w:tcBorders>
            <w:vAlign w:val="bottom"/>
          </w:tcPr>
          <w:p w14:paraId="71B217B4"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932.29</w:t>
            </w:r>
          </w:p>
        </w:tc>
        <w:tc>
          <w:tcPr>
            <w:tcW w:w="1632" w:type="dxa"/>
            <w:tcBorders>
              <w:top w:val="single" w:sz="4" w:space="0" w:color="000000"/>
              <w:left w:val="single" w:sz="4" w:space="0" w:color="000000"/>
              <w:bottom w:val="single" w:sz="4" w:space="0" w:color="000000"/>
              <w:right w:val="single" w:sz="4" w:space="0" w:color="000000"/>
            </w:tcBorders>
            <w:vAlign w:val="bottom"/>
          </w:tcPr>
          <w:p w14:paraId="58443DD0"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1,237.75</w:t>
            </w:r>
          </w:p>
        </w:tc>
        <w:tc>
          <w:tcPr>
            <w:tcW w:w="1577" w:type="dxa"/>
            <w:tcBorders>
              <w:top w:val="single" w:sz="4" w:space="0" w:color="000000"/>
              <w:left w:val="single" w:sz="4" w:space="0" w:color="000000"/>
              <w:bottom w:val="single" w:sz="4" w:space="0" w:color="000000"/>
              <w:right w:val="single" w:sz="4" w:space="0" w:color="000000"/>
            </w:tcBorders>
            <w:vAlign w:val="bottom"/>
          </w:tcPr>
          <w:p w14:paraId="4D044448"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1,388.91</w:t>
            </w:r>
          </w:p>
        </w:tc>
      </w:tr>
      <w:tr w:rsidR="00A031A6" w14:paraId="2A204D47" w14:textId="77777777">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14:paraId="4E88CED1"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Bus</w:t>
            </w:r>
          </w:p>
        </w:tc>
        <w:tc>
          <w:tcPr>
            <w:tcW w:w="1772" w:type="dxa"/>
            <w:tcBorders>
              <w:top w:val="single" w:sz="4" w:space="0" w:color="000000"/>
              <w:left w:val="single" w:sz="4" w:space="0" w:color="000000"/>
              <w:bottom w:val="single" w:sz="4" w:space="0" w:color="000000"/>
              <w:right w:val="single" w:sz="4" w:space="0" w:color="000000"/>
            </w:tcBorders>
            <w:vAlign w:val="bottom"/>
          </w:tcPr>
          <w:p w14:paraId="717316D1"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1,600.16</w:t>
            </w:r>
          </w:p>
        </w:tc>
        <w:tc>
          <w:tcPr>
            <w:tcW w:w="1632" w:type="dxa"/>
            <w:tcBorders>
              <w:top w:val="single" w:sz="4" w:space="0" w:color="000000"/>
              <w:left w:val="single" w:sz="4" w:space="0" w:color="000000"/>
              <w:bottom w:val="single" w:sz="4" w:space="0" w:color="000000"/>
              <w:right w:val="single" w:sz="4" w:space="0" w:color="000000"/>
            </w:tcBorders>
            <w:vAlign w:val="bottom"/>
          </w:tcPr>
          <w:p w14:paraId="673F4988"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1,982.04</w:t>
            </w:r>
          </w:p>
        </w:tc>
        <w:tc>
          <w:tcPr>
            <w:tcW w:w="1577" w:type="dxa"/>
            <w:tcBorders>
              <w:top w:val="single" w:sz="4" w:space="0" w:color="000000"/>
              <w:left w:val="single" w:sz="4" w:space="0" w:color="000000"/>
              <w:bottom w:val="single" w:sz="4" w:space="0" w:color="000000"/>
              <w:right w:val="single" w:sz="4" w:space="0" w:color="000000"/>
            </w:tcBorders>
            <w:vAlign w:val="bottom"/>
          </w:tcPr>
          <w:p w14:paraId="01F4DF1F"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2,344.48</w:t>
            </w:r>
          </w:p>
        </w:tc>
      </w:tr>
      <w:tr w:rsidR="00A031A6" w14:paraId="57916C5B" w14:textId="77777777">
        <w:trPr>
          <w:trHeight w:val="340"/>
        </w:trPr>
        <w:tc>
          <w:tcPr>
            <w:tcW w:w="4118" w:type="dxa"/>
            <w:tcBorders>
              <w:top w:val="single" w:sz="4" w:space="0" w:color="000000"/>
              <w:left w:val="single" w:sz="4" w:space="0" w:color="000000"/>
              <w:bottom w:val="single" w:sz="4" w:space="0" w:color="000000"/>
              <w:right w:val="single" w:sz="4" w:space="0" w:color="000000"/>
            </w:tcBorders>
            <w:vAlign w:val="bottom"/>
          </w:tcPr>
          <w:p w14:paraId="34416C4C"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Car</w:t>
            </w:r>
          </w:p>
        </w:tc>
        <w:tc>
          <w:tcPr>
            <w:tcW w:w="1772" w:type="dxa"/>
            <w:tcBorders>
              <w:top w:val="single" w:sz="4" w:space="0" w:color="000000"/>
              <w:left w:val="single" w:sz="4" w:space="0" w:color="000000"/>
              <w:bottom w:val="single" w:sz="4" w:space="0" w:color="000000"/>
              <w:right w:val="single" w:sz="4" w:space="0" w:color="000000"/>
            </w:tcBorders>
            <w:vAlign w:val="bottom"/>
          </w:tcPr>
          <w:p w14:paraId="4CE45F5F"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359.143</w:t>
            </w:r>
          </w:p>
        </w:tc>
        <w:tc>
          <w:tcPr>
            <w:tcW w:w="1632" w:type="dxa"/>
            <w:tcBorders>
              <w:top w:val="single" w:sz="4" w:space="0" w:color="000000"/>
              <w:left w:val="single" w:sz="4" w:space="0" w:color="000000"/>
              <w:bottom w:val="single" w:sz="4" w:space="0" w:color="000000"/>
              <w:right w:val="single" w:sz="4" w:space="0" w:color="000000"/>
            </w:tcBorders>
            <w:vAlign w:val="bottom"/>
          </w:tcPr>
          <w:p w14:paraId="702BAF74"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466.488</w:t>
            </w:r>
          </w:p>
        </w:tc>
        <w:tc>
          <w:tcPr>
            <w:tcW w:w="1577" w:type="dxa"/>
            <w:tcBorders>
              <w:top w:val="single" w:sz="4" w:space="0" w:color="000000"/>
              <w:left w:val="single" w:sz="4" w:space="0" w:color="000000"/>
              <w:bottom w:val="single" w:sz="4" w:space="0" w:color="000000"/>
              <w:right w:val="single" w:sz="4" w:space="0" w:color="000000"/>
            </w:tcBorders>
            <w:vAlign w:val="bottom"/>
          </w:tcPr>
          <w:p w14:paraId="56F6DD37"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577.674</w:t>
            </w:r>
          </w:p>
        </w:tc>
      </w:tr>
    </w:tbl>
    <w:p w14:paraId="00F6D60D" w14:textId="77777777" w:rsidR="00A031A6" w:rsidRDefault="00A031A6">
      <w:pPr>
        <w:rPr>
          <w:rFonts w:ascii="Arial" w:eastAsia="Arial" w:hAnsi="Arial" w:cs="Arial"/>
          <w:b/>
          <w:sz w:val="20"/>
          <w:szCs w:val="20"/>
        </w:rPr>
      </w:pPr>
    </w:p>
    <w:p w14:paraId="187E4EEC" w14:textId="77777777" w:rsidR="00A031A6" w:rsidRDefault="00916FD0">
      <w:pPr>
        <w:pStyle w:val="Heading3"/>
        <w:ind w:firstLine="716"/>
      </w:pPr>
      <w:bookmarkStart w:id="158" w:name="_Toc62221464"/>
      <w:r>
        <w:t>Residential:</w:t>
      </w:r>
      <w:bookmarkEnd w:id="158"/>
    </w:p>
    <w:p w14:paraId="40A66EEE" w14:textId="77777777" w:rsidR="00A031A6" w:rsidRDefault="00916FD0">
      <w:pPr>
        <w:tabs>
          <w:tab w:val="left" w:pos="3168"/>
        </w:tabs>
        <w:rPr>
          <w:rFonts w:ascii="Arial" w:eastAsia="Arial" w:hAnsi="Arial" w:cs="Arial"/>
          <w:sz w:val="20"/>
          <w:szCs w:val="20"/>
        </w:rPr>
      </w:pPr>
      <w:r>
        <w:rPr>
          <w:rFonts w:ascii="Arial" w:eastAsia="Arial" w:hAnsi="Arial" w:cs="Arial"/>
          <w:sz w:val="20"/>
          <w:szCs w:val="20"/>
        </w:rPr>
        <w:t>Urban and Rural HH: Assumption used in National Energy Planning</w:t>
      </w:r>
    </w:p>
    <w:p w14:paraId="4BFA7278"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59" w:name="_1kc7wiv" w:colFirst="0" w:colLast="0"/>
      <w:bookmarkEnd w:id="159"/>
      <w:r>
        <w:rPr>
          <w:rFonts w:ascii="Arial" w:eastAsia="Arial" w:hAnsi="Arial" w:cs="Arial"/>
          <w:b/>
          <w:color w:val="000000"/>
          <w:sz w:val="20"/>
          <w:szCs w:val="20"/>
        </w:rPr>
        <w:t>Table 15. Residential urbanization</w:t>
      </w:r>
    </w:p>
    <w:tbl>
      <w:tblPr>
        <w:tblStyle w:val="af2"/>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3"/>
        <w:gridCol w:w="2263"/>
        <w:gridCol w:w="2268"/>
      </w:tblGrid>
      <w:tr w:rsidR="00A031A6" w14:paraId="48F7D640" w14:textId="77777777">
        <w:trPr>
          <w:trHeight w:val="340"/>
        </w:trPr>
        <w:tc>
          <w:tcPr>
            <w:tcW w:w="2263" w:type="dxa"/>
            <w:shd w:val="clear" w:color="auto" w:fill="808080"/>
            <w:vAlign w:val="bottom"/>
          </w:tcPr>
          <w:p w14:paraId="62064B32" w14:textId="77777777" w:rsidR="00A031A6" w:rsidRDefault="00A031A6">
            <w:pPr>
              <w:rPr>
                <w:rFonts w:ascii="Arial" w:eastAsia="Arial" w:hAnsi="Arial" w:cs="Arial"/>
                <w:color w:val="FFFFFF"/>
                <w:sz w:val="20"/>
                <w:szCs w:val="20"/>
              </w:rPr>
            </w:pPr>
          </w:p>
        </w:tc>
        <w:tc>
          <w:tcPr>
            <w:tcW w:w="2263" w:type="dxa"/>
            <w:shd w:val="clear" w:color="auto" w:fill="808080"/>
            <w:vAlign w:val="bottom"/>
          </w:tcPr>
          <w:p w14:paraId="267FA2B2"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2018</w:t>
            </w:r>
          </w:p>
        </w:tc>
        <w:tc>
          <w:tcPr>
            <w:tcW w:w="2263" w:type="dxa"/>
            <w:shd w:val="clear" w:color="auto" w:fill="808080"/>
            <w:vAlign w:val="bottom"/>
          </w:tcPr>
          <w:p w14:paraId="09913EDD"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2025</w:t>
            </w:r>
          </w:p>
        </w:tc>
        <w:tc>
          <w:tcPr>
            <w:tcW w:w="2268" w:type="dxa"/>
            <w:shd w:val="clear" w:color="auto" w:fill="808080"/>
            <w:vAlign w:val="bottom"/>
          </w:tcPr>
          <w:p w14:paraId="2425609B"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2030</w:t>
            </w:r>
          </w:p>
        </w:tc>
      </w:tr>
      <w:tr w:rsidR="00A031A6" w14:paraId="42A69C84" w14:textId="77777777">
        <w:trPr>
          <w:trHeight w:val="340"/>
        </w:trPr>
        <w:tc>
          <w:tcPr>
            <w:tcW w:w="2263" w:type="dxa"/>
            <w:vAlign w:val="bottom"/>
          </w:tcPr>
          <w:p w14:paraId="66E33B13"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Rural</w:t>
            </w:r>
          </w:p>
        </w:tc>
        <w:tc>
          <w:tcPr>
            <w:tcW w:w="2263" w:type="dxa"/>
            <w:vAlign w:val="bottom"/>
          </w:tcPr>
          <w:p w14:paraId="365E4256"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44.7</w:t>
            </w:r>
          </w:p>
        </w:tc>
        <w:tc>
          <w:tcPr>
            <w:tcW w:w="2263" w:type="dxa"/>
            <w:vAlign w:val="bottom"/>
          </w:tcPr>
          <w:p w14:paraId="5923AF70"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40</w:t>
            </w:r>
          </w:p>
        </w:tc>
        <w:tc>
          <w:tcPr>
            <w:tcW w:w="2268" w:type="dxa"/>
            <w:vAlign w:val="bottom"/>
          </w:tcPr>
          <w:p w14:paraId="490E3F7E"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36.6</w:t>
            </w:r>
          </w:p>
        </w:tc>
      </w:tr>
      <w:tr w:rsidR="00A031A6" w14:paraId="2E9EC6F9" w14:textId="77777777">
        <w:trPr>
          <w:trHeight w:val="340"/>
        </w:trPr>
        <w:tc>
          <w:tcPr>
            <w:tcW w:w="2263" w:type="dxa"/>
            <w:vAlign w:val="bottom"/>
          </w:tcPr>
          <w:p w14:paraId="0CCF4255" w14:textId="77777777" w:rsidR="00A031A6" w:rsidRDefault="00916FD0">
            <w:pPr>
              <w:rPr>
                <w:rFonts w:ascii="Arial" w:eastAsia="Arial" w:hAnsi="Arial" w:cs="Arial"/>
                <w:color w:val="000000"/>
                <w:sz w:val="20"/>
                <w:szCs w:val="20"/>
              </w:rPr>
            </w:pPr>
            <w:r>
              <w:rPr>
                <w:rFonts w:ascii="Arial" w:eastAsia="Arial" w:hAnsi="Arial" w:cs="Arial"/>
                <w:color w:val="000000"/>
                <w:sz w:val="20"/>
                <w:szCs w:val="20"/>
              </w:rPr>
              <w:t>Urban</w:t>
            </w:r>
          </w:p>
        </w:tc>
        <w:tc>
          <w:tcPr>
            <w:tcW w:w="2263" w:type="dxa"/>
            <w:vAlign w:val="bottom"/>
          </w:tcPr>
          <w:p w14:paraId="06306A35"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55.3</w:t>
            </w:r>
          </w:p>
        </w:tc>
        <w:tc>
          <w:tcPr>
            <w:tcW w:w="2263" w:type="dxa"/>
            <w:vAlign w:val="bottom"/>
          </w:tcPr>
          <w:p w14:paraId="0A6736FE"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60</w:t>
            </w:r>
          </w:p>
        </w:tc>
        <w:tc>
          <w:tcPr>
            <w:tcW w:w="2268" w:type="dxa"/>
            <w:vAlign w:val="bottom"/>
          </w:tcPr>
          <w:p w14:paraId="34B5698B"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63.4</w:t>
            </w:r>
          </w:p>
        </w:tc>
      </w:tr>
    </w:tbl>
    <w:p w14:paraId="1C441141" w14:textId="77777777" w:rsidR="00A031A6" w:rsidRDefault="00A031A6">
      <w:pPr>
        <w:tabs>
          <w:tab w:val="left" w:pos="3168"/>
        </w:tabs>
        <w:rPr>
          <w:rFonts w:ascii="Arial" w:eastAsia="Arial" w:hAnsi="Arial" w:cs="Arial"/>
          <w:b/>
          <w:sz w:val="20"/>
          <w:szCs w:val="20"/>
        </w:rPr>
      </w:pPr>
    </w:p>
    <w:p w14:paraId="7A56B96F" w14:textId="77777777" w:rsidR="00A031A6" w:rsidRDefault="00916FD0">
      <w:pPr>
        <w:pStyle w:val="Heading3"/>
        <w:tabs>
          <w:tab w:val="left" w:pos="3168"/>
        </w:tabs>
        <w:ind w:firstLine="716"/>
      </w:pPr>
      <w:bookmarkStart w:id="160" w:name="_Toc62221465"/>
      <w:r>
        <w:t>Commercial:</w:t>
      </w:r>
      <w:bookmarkEnd w:id="160"/>
    </w:p>
    <w:p w14:paraId="6C14DAD2" w14:textId="77777777" w:rsidR="00A031A6" w:rsidRDefault="00916FD0">
      <w:pPr>
        <w:tabs>
          <w:tab w:val="left" w:pos="3168"/>
        </w:tabs>
        <w:rPr>
          <w:rFonts w:ascii="Arial" w:eastAsia="Arial" w:hAnsi="Arial" w:cs="Arial"/>
          <w:sz w:val="20"/>
          <w:szCs w:val="20"/>
        </w:rPr>
      </w:pPr>
      <w:r>
        <w:rPr>
          <w:rFonts w:ascii="Arial" w:eastAsia="Arial" w:hAnsi="Arial" w:cs="Arial"/>
          <w:sz w:val="20"/>
          <w:szCs w:val="20"/>
        </w:rPr>
        <w:t>GDP elasticity: Assumption used in National Energy Planning (RUEN): 1.14.</w:t>
      </w:r>
    </w:p>
    <w:p w14:paraId="771BA219" w14:textId="77777777" w:rsidR="00A031A6" w:rsidRDefault="00916FD0">
      <w:pPr>
        <w:pStyle w:val="Heading3"/>
        <w:tabs>
          <w:tab w:val="left" w:pos="3168"/>
        </w:tabs>
        <w:ind w:firstLine="716"/>
      </w:pPr>
      <w:bookmarkStart w:id="161" w:name="_Toc62221466"/>
      <w:r>
        <w:t>Other sector:</w:t>
      </w:r>
      <w:bookmarkEnd w:id="161"/>
    </w:p>
    <w:p w14:paraId="7A268400" w14:textId="77777777" w:rsidR="00A031A6" w:rsidRDefault="00916FD0">
      <w:pPr>
        <w:tabs>
          <w:tab w:val="left" w:pos="3168"/>
        </w:tabs>
      </w:pPr>
      <w:r>
        <w:rPr>
          <w:rFonts w:ascii="Arial" w:eastAsia="Arial" w:hAnsi="Arial" w:cs="Arial"/>
          <w:sz w:val="20"/>
          <w:szCs w:val="20"/>
        </w:rPr>
        <w:t>GDP elasticity: Assumption used in National Energy Planning (RUEN): 0.64.</w:t>
      </w:r>
    </w:p>
    <w:p w14:paraId="32A2FBFF" w14:textId="77777777" w:rsidR="00A031A6" w:rsidRDefault="00916FD0">
      <w:pPr>
        <w:pStyle w:val="Heading3"/>
        <w:tabs>
          <w:tab w:val="left" w:pos="3168"/>
        </w:tabs>
        <w:ind w:firstLine="716"/>
      </w:pPr>
      <w:bookmarkStart w:id="162" w:name="_Toc62221467"/>
      <w:r>
        <w:t>Transformation</w:t>
      </w:r>
      <w:bookmarkEnd w:id="162"/>
    </w:p>
    <w:p w14:paraId="31AA3330" w14:textId="77777777" w:rsidR="00A031A6" w:rsidRDefault="00916FD0">
      <w:pPr>
        <w:tabs>
          <w:tab w:val="left" w:pos="3168"/>
        </w:tabs>
        <w:spacing w:line="360" w:lineRule="auto"/>
        <w:rPr>
          <w:rFonts w:ascii="Arial" w:eastAsia="Arial" w:hAnsi="Arial" w:cs="Arial"/>
          <w:sz w:val="20"/>
          <w:szCs w:val="20"/>
        </w:rPr>
      </w:pPr>
      <w:r>
        <w:rPr>
          <w:rFonts w:ascii="Arial" w:eastAsia="Arial" w:hAnsi="Arial" w:cs="Arial"/>
          <w:sz w:val="20"/>
          <w:szCs w:val="20"/>
        </w:rPr>
        <w:t>Existing Steam PP: According to Electricity Statistics by Directorate General of Electricity, MEMR, electricity production from Steam PP in 2018.</w:t>
      </w:r>
    </w:p>
    <w:p w14:paraId="697A9233" w14:textId="77777777" w:rsidR="00A031A6" w:rsidRDefault="00916FD0">
      <w:pPr>
        <w:keepNext/>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63" w:name="_3im3ia3" w:colFirst="0" w:colLast="0"/>
      <w:bookmarkEnd w:id="163"/>
      <w:r>
        <w:rPr>
          <w:rFonts w:ascii="Arial" w:eastAsia="Arial" w:hAnsi="Arial" w:cs="Arial"/>
          <w:b/>
          <w:color w:val="000000"/>
          <w:sz w:val="20"/>
          <w:szCs w:val="20"/>
        </w:rPr>
        <w:t>Table 16. Indonesia steam power plants</w:t>
      </w:r>
    </w:p>
    <w:tbl>
      <w:tblPr>
        <w:tblStyle w:val="af3"/>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9"/>
        <w:gridCol w:w="3095"/>
        <w:gridCol w:w="3017"/>
      </w:tblGrid>
      <w:tr w:rsidR="00A031A6" w14:paraId="1BFF744C" w14:textId="77777777">
        <w:trPr>
          <w:trHeight w:val="340"/>
        </w:trPr>
        <w:tc>
          <w:tcPr>
            <w:tcW w:w="2899" w:type="dxa"/>
            <w:shd w:val="clear" w:color="auto" w:fill="808080"/>
            <w:vAlign w:val="bottom"/>
          </w:tcPr>
          <w:p w14:paraId="1E479F99"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Steam Oil PP</w:t>
            </w:r>
          </w:p>
        </w:tc>
        <w:tc>
          <w:tcPr>
            <w:tcW w:w="3095" w:type="dxa"/>
            <w:shd w:val="clear" w:color="auto" w:fill="808080"/>
            <w:vAlign w:val="bottom"/>
          </w:tcPr>
          <w:p w14:paraId="3CC267BB"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Steam NG PP</w:t>
            </w:r>
          </w:p>
        </w:tc>
        <w:tc>
          <w:tcPr>
            <w:tcW w:w="3017" w:type="dxa"/>
            <w:shd w:val="clear" w:color="auto" w:fill="808080"/>
            <w:vAlign w:val="bottom"/>
          </w:tcPr>
          <w:p w14:paraId="09123ECA" w14:textId="77777777" w:rsidR="00A031A6" w:rsidRDefault="00916FD0">
            <w:pPr>
              <w:jc w:val="right"/>
              <w:rPr>
                <w:rFonts w:ascii="Arial" w:eastAsia="Arial" w:hAnsi="Arial" w:cs="Arial"/>
                <w:color w:val="FFFFFF"/>
                <w:sz w:val="20"/>
                <w:szCs w:val="20"/>
              </w:rPr>
            </w:pPr>
            <w:r>
              <w:rPr>
                <w:rFonts w:ascii="Arial" w:eastAsia="Arial" w:hAnsi="Arial" w:cs="Arial"/>
                <w:color w:val="FFFFFF"/>
                <w:sz w:val="20"/>
                <w:szCs w:val="20"/>
              </w:rPr>
              <w:t>Steam Coal PP</w:t>
            </w:r>
          </w:p>
        </w:tc>
      </w:tr>
      <w:tr w:rsidR="00A031A6" w14:paraId="0ADEC548" w14:textId="77777777">
        <w:trPr>
          <w:trHeight w:val="340"/>
        </w:trPr>
        <w:tc>
          <w:tcPr>
            <w:tcW w:w="2899" w:type="dxa"/>
            <w:vAlign w:val="bottom"/>
          </w:tcPr>
          <w:p w14:paraId="321D41D4"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25.8%</w:t>
            </w:r>
          </w:p>
        </w:tc>
        <w:tc>
          <w:tcPr>
            <w:tcW w:w="3095" w:type="dxa"/>
            <w:vAlign w:val="bottom"/>
          </w:tcPr>
          <w:p w14:paraId="27734107"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2.2%</w:t>
            </w:r>
          </w:p>
        </w:tc>
        <w:tc>
          <w:tcPr>
            <w:tcW w:w="3017" w:type="dxa"/>
            <w:vAlign w:val="bottom"/>
          </w:tcPr>
          <w:p w14:paraId="0B92694F" w14:textId="77777777" w:rsidR="00A031A6" w:rsidRDefault="00916FD0">
            <w:pPr>
              <w:jc w:val="right"/>
              <w:rPr>
                <w:rFonts w:ascii="Arial" w:eastAsia="Arial" w:hAnsi="Arial" w:cs="Arial"/>
                <w:color w:val="000000"/>
                <w:sz w:val="20"/>
                <w:szCs w:val="20"/>
              </w:rPr>
            </w:pPr>
            <w:r>
              <w:rPr>
                <w:rFonts w:ascii="Arial" w:eastAsia="Arial" w:hAnsi="Arial" w:cs="Arial"/>
                <w:color w:val="000000"/>
                <w:sz w:val="20"/>
                <w:szCs w:val="20"/>
              </w:rPr>
              <w:t>72.1%</w:t>
            </w:r>
          </w:p>
        </w:tc>
      </w:tr>
    </w:tbl>
    <w:p w14:paraId="1F431CDF" w14:textId="77777777" w:rsidR="00A031A6" w:rsidRDefault="00A031A6"/>
    <w:p w14:paraId="6CB755F3" w14:textId="77777777" w:rsidR="00A031A6" w:rsidRDefault="00916FD0">
      <w:pPr>
        <w:pStyle w:val="Heading2"/>
        <w:numPr>
          <w:ilvl w:val="0"/>
          <w:numId w:val="13"/>
        </w:numPr>
      </w:pPr>
      <w:bookmarkStart w:id="164" w:name="_Toc62221468"/>
      <w:r>
        <w:t>Economic analysis data</w:t>
      </w:r>
      <w:bookmarkEnd w:id="164"/>
    </w:p>
    <w:p w14:paraId="50693B4B" w14:textId="77777777" w:rsidR="00A031A6" w:rsidRDefault="00916FD0">
      <w:pPr>
        <w:spacing w:line="360" w:lineRule="auto"/>
        <w:jc w:val="both"/>
        <w:rPr>
          <w:rFonts w:ascii="Arial" w:eastAsia="Arial" w:hAnsi="Arial" w:cs="Arial"/>
          <w:sz w:val="20"/>
          <w:szCs w:val="20"/>
        </w:rPr>
        <w:sectPr w:rsidR="00A031A6">
          <w:type w:val="continuous"/>
          <w:pgSz w:w="11906" w:h="16838"/>
          <w:pgMar w:top="1440" w:right="1440" w:bottom="1440" w:left="1440" w:header="708" w:footer="708" w:gutter="0"/>
          <w:cols w:space="720"/>
        </w:sectPr>
      </w:pPr>
      <w:r>
        <w:rPr>
          <w:rFonts w:ascii="Arial" w:eastAsia="Arial" w:hAnsi="Arial" w:cs="Arial"/>
          <w:sz w:val="20"/>
          <w:szCs w:val="20"/>
        </w:rPr>
        <w:t xml:space="preserve">The NEXSTEP Economic model analyses the power plant technologies based on technical and economic parameters to estimate levelized cost of electricity. </w:t>
      </w:r>
    </w:p>
    <w:p w14:paraId="70149B5D" w14:textId="77777777" w:rsidR="00A031A6" w:rsidRDefault="00916FD0">
      <w:pPr>
        <w:pBdr>
          <w:top w:val="nil"/>
          <w:left w:val="nil"/>
          <w:bottom w:val="nil"/>
          <w:right w:val="nil"/>
          <w:between w:val="nil"/>
        </w:pBdr>
        <w:spacing w:after="200" w:line="240" w:lineRule="auto"/>
        <w:jc w:val="center"/>
        <w:rPr>
          <w:rFonts w:ascii="Arial" w:eastAsia="Arial" w:hAnsi="Arial" w:cs="Arial"/>
          <w:b/>
          <w:color w:val="000000"/>
        </w:rPr>
      </w:pPr>
      <w:bookmarkStart w:id="165" w:name="_4hr1b5p" w:colFirst="0" w:colLast="0"/>
      <w:bookmarkEnd w:id="165"/>
      <w:r>
        <w:rPr>
          <w:rFonts w:ascii="Arial" w:eastAsia="Arial" w:hAnsi="Arial" w:cs="Arial"/>
          <w:b/>
          <w:color w:val="000000"/>
          <w:sz w:val="20"/>
          <w:szCs w:val="20"/>
        </w:rPr>
        <w:t>Table 17. Economic analysis parameters</w:t>
      </w:r>
    </w:p>
    <w:tbl>
      <w:tblPr>
        <w:tblStyle w:val="af4"/>
        <w:tblW w:w="9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31"/>
      </w:tblGrid>
      <w:tr w:rsidR="00A031A6" w14:paraId="4425C35B" w14:textId="77777777">
        <w:trPr>
          <w:trHeight w:val="340"/>
        </w:trPr>
        <w:tc>
          <w:tcPr>
            <w:tcW w:w="9048" w:type="dxa"/>
            <w:gridSpan w:val="2"/>
            <w:shd w:val="clear" w:color="auto" w:fill="808080"/>
            <w:vAlign w:val="center"/>
          </w:tcPr>
          <w:p w14:paraId="619926EF" w14:textId="77777777" w:rsidR="00A031A6" w:rsidRDefault="00916FD0">
            <w:pPr>
              <w:rPr>
                <w:rFonts w:ascii="Arial" w:eastAsia="Arial" w:hAnsi="Arial" w:cs="Arial"/>
                <w:b/>
                <w:color w:val="FFFFFF"/>
                <w:sz w:val="16"/>
                <w:szCs w:val="16"/>
              </w:rPr>
            </w:pPr>
            <w:r>
              <w:rPr>
                <w:rFonts w:ascii="Arial" w:eastAsia="Arial" w:hAnsi="Arial" w:cs="Arial"/>
                <w:b/>
                <w:color w:val="FFFFFF"/>
                <w:sz w:val="16"/>
                <w:szCs w:val="16"/>
              </w:rPr>
              <w:t>Economic parameters</w:t>
            </w:r>
          </w:p>
          <w:p w14:paraId="4B778B3F" w14:textId="77777777" w:rsidR="00A031A6" w:rsidRDefault="00A031A6">
            <w:pPr>
              <w:rPr>
                <w:rFonts w:ascii="Arial" w:eastAsia="Arial" w:hAnsi="Arial" w:cs="Arial"/>
                <w:b/>
                <w:color w:val="FFFFFF"/>
                <w:sz w:val="16"/>
                <w:szCs w:val="16"/>
              </w:rPr>
            </w:pPr>
          </w:p>
        </w:tc>
      </w:tr>
      <w:tr w:rsidR="00A031A6" w14:paraId="147ADB00" w14:textId="77777777">
        <w:trPr>
          <w:trHeight w:val="340"/>
        </w:trPr>
        <w:tc>
          <w:tcPr>
            <w:tcW w:w="4517" w:type="dxa"/>
            <w:vAlign w:val="center"/>
          </w:tcPr>
          <w:p w14:paraId="77C4613B"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Nominal discount rate</w:t>
            </w:r>
          </w:p>
        </w:tc>
        <w:tc>
          <w:tcPr>
            <w:tcW w:w="4531" w:type="dxa"/>
            <w:vAlign w:val="center"/>
          </w:tcPr>
          <w:p w14:paraId="43D3193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w:t>
            </w:r>
          </w:p>
        </w:tc>
      </w:tr>
      <w:tr w:rsidR="00A031A6" w14:paraId="2F290E48" w14:textId="77777777">
        <w:trPr>
          <w:trHeight w:val="340"/>
        </w:trPr>
        <w:tc>
          <w:tcPr>
            <w:tcW w:w="4517" w:type="dxa"/>
            <w:vAlign w:val="center"/>
          </w:tcPr>
          <w:p w14:paraId="4830532F"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Inflation rate</w:t>
            </w:r>
          </w:p>
        </w:tc>
        <w:tc>
          <w:tcPr>
            <w:tcW w:w="4531" w:type="dxa"/>
            <w:vAlign w:val="center"/>
          </w:tcPr>
          <w:p w14:paraId="00F4172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2.50%</w:t>
            </w:r>
          </w:p>
        </w:tc>
      </w:tr>
      <w:tr w:rsidR="00A031A6" w14:paraId="5E949C32" w14:textId="77777777">
        <w:trPr>
          <w:trHeight w:val="340"/>
        </w:trPr>
        <w:tc>
          <w:tcPr>
            <w:tcW w:w="4517" w:type="dxa"/>
            <w:vAlign w:val="center"/>
          </w:tcPr>
          <w:p w14:paraId="5515B53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Standard Conversion Factor (SCF)</w:t>
            </w:r>
          </w:p>
        </w:tc>
        <w:tc>
          <w:tcPr>
            <w:tcW w:w="4531" w:type="dxa"/>
            <w:vAlign w:val="center"/>
          </w:tcPr>
          <w:p w14:paraId="3CD5511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0.90</w:t>
            </w:r>
          </w:p>
        </w:tc>
      </w:tr>
      <w:tr w:rsidR="00A031A6" w14:paraId="5F9CAB1B" w14:textId="77777777">
        <w:trPr>
          <w:trHeight w:val="340"/>
        </w:trPr>
        <w:tc>
          <w:tcPr>
            <w:tcW w:w="4517" w:type="dxa"/>
            <w:vAlign w:val="center"/>
          </w:tcPr>
          <w:p w14:paraId="063916E4"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Carbon price</w:t>
            </w:r>
          </w:p>
        </w:tc>
        <w:tc>
          <w:tcPr>
            <w:tcW w:w="4531" w:type="dxa"/>
            <w:vAlign w:val="center"/>
          </w:tcPr>
          <w:p w14:paraId="572FCB7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0.00 US$/Ton CO</w:t>
            </w:r>
            <w:r>
              <w:rPr>
                <w:rFonts w:ascii="Arial" w:eastAsia="Arial" w:hAnsi="Arial" w:cs="Arial"/>
                <w:color w:val="000000"/>
                <w:sz w:val="16"/>
                <w:szCs w:val="16"/>
                <w:vertAlign w:val="subscript"/>
              </w:rPr>
              <w:t>2</w:t>
            </w:r>
            <w:r>
              <w:rPr>
                <w:rFonts w:ascii="Arial" w:eastAsia="Arial" w:hAnsi="Arial" w:cs="Arial"/>
                <w:color w:val="000000"/>
                <w:sz w:val="16"/>
                <w:szCs w:val="16"/>
              </w:rPr>
              <w:t>e</w:t>
            </w:r>
          </w:p>
        </w:tc>
      </w:tr>
      <w:tr w:rsidR="00A031A6" w14:paraId="3D6D425B" w14:textId="77777777">
        <w:trPr>
          <w:trHeight w:val="340"/>
        </w:trPr>
        <w:tc>
          <w:tcPr>
            <w:tcW w:w="4517" w:type="dxa"/>
            <w:vAlign w:val="center"/>
          </w:tcPr>
          <w:p w14:paraId="185D0AB8"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Electricity tariff</w:t>
            </w:r>
          </w:p>
        </w:tc>
        <w:tc>
          <w:tcPr>
            <w:tcW w:w="4531" w:type="dxa"/>
            <w:vAlign w:val="center"/>
          </w:tcPr>
          <w:p w14:paraId="4470FB8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0.1080 US$/kWh</w:t>
            </w:r>
          </w:p>
        </w:tc>
      </w:tr>
      <w:tr w:rsidR="00A031A6" w14:paraId="7212561A" w14:textId="77777777">
        <w:trPr>
          <w:trHeight w:val="340"/>
        </w:trPr>
        <w:tc>
          <w:tcPr>
            <w:tcW w:w="4517" w:type="dxa"/>
            <w:vAlign w:val="center"/>
          </w:tcPr>
          <w:p w14:paraId="23976345"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Skilled workforce</w:t>
            </w:r>
          </w:p>
        </w:tc>
        <w:tc>
          <w:tcPr>
            <w:tcW w:w="4531" w:type="dxa"/>
            <w:vAlign w:val="center"/>
          </w:tcPr>
          <w:p w14:paraId="01C8091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w:t>
            </w:r>
          </w:p>
        </w:tc>
      </w:tr>
      <w:tr w:rsidR="00A031A6" w14:paraId="2D06CE9E" w14:textId="77777777">
        <w:trPr>
          <w:trHeight w:val="340"/>
        </w:trPr>
        <w:tc>
          <w:tcPr>
            <w:tcW w:w="4517" w:type="dxa"/>
            <w:vAlign w:val="center"/>
          </w:tcPr>
          <w:p w14:paraId="447E28F8"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Shadow Wage Rate Factor (SWRF)</w:t>
            </w:r>
          </w:p>
        </w:tc>
        <w:tc>
          <w:tcPr>
            <w:tcW w:w="4531" w:type="dxa"/>
            <w:vAlign w:val="center"/>
          </w:tcPr>
          <w:p w14:paraId="36F696E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0.75</w:t>
            </w:r>
          </w:p>
        </w:tc>
      </w:tr>
    </w:tbl>
    <w:p w14:paraId="7931428F" w14:textId="77777777" w:rsidR="00A031A6" w:rsidRDefault="00A031A6">
      <w:pPr>
        <w:spacing w:line="360" w:lineRule="auto"/>
        <w:jc w:val="both"/>
        <w:rPr>
          <w:rFonts w:ascii="Arial" w:eastAsia="Arial" w:hAnsi="Arial" w:cs="Arial"/>
          <w:sz w:val="2"/>
          <w:szCs w:val="2"/>
        </w:rPr>
      </w:pPr>
    </w:p>
    <w:p w14:paraId="71D36CDF" w14:textId="77777777" w:rsidR="00A031A6" w:rsidRDefault="00916FD0">
      <w:pPr>
        <w:pBdr>
          <w:top w:val="nil"/>
          <w:left w:val="nil"/>
          <w:bottom w:val="nil"/>
          <w:right w:val="nil"/>
          <w:between w:val="nil"/>
        </w:pBdr>
        <w:spacing w:after="200" w:line="240" w:lineRule="auto"/>
        <w:jc w:val="center"/>
        <w:rPr>
          <w:rFonts w:ascii="Arial" w:eastAsia="Arial" w:hAnsi="Arial" w:cs="Arial"/>
          <w:b/>
          <w:color w:val="000000"/>
        </w:rPr>
      </w:pPr>
      <w:bookmarkStart w:id="166" w:name="_2wwbldi" w:colFirst="0" w:colLast="0"/>
      <w:bookmarkEnd w:id="166"/>
      <w:r>
        <w:rPr>
          <w:rFonts w:ascii="Arial" w:eastAsia="Arial" w:hAnsi="Arial" w:cs="Arial"/>
          <w:b/>
          <w:color w:val="000000"/>
          <w:sz w:val="20"/>
          <w:szCs w:val="20"/>
        </w:rPr>
        <w:t>Table 18. Fuel price for power plant technologies</w:t>
      </w:r>
    </w:p>
    <w:tbl>
      <w:tblPr>
        <w:tblStyle w:val="af5"/>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43"/>
      </w:tblGrid>
      <w:tr w:rsidR="00A031A6" w14:paraId="11292CCB" w14:textId="77777777">
        <w:trPr>
          <w:trHeight w:val="340"/>
        </w:trPr>
        <w:tc>
          <w:tcPr>
            <w:tcW w:w="9074" w:type="dxa"/>
            <w:gridSpan w:val="2"/>
            <w:shd w:val="clear" w:color="auto" w:fill="808080"/>
            <w:vAlign w:val="center"/>
          </w:tcPr>
          <w:p w14:paraId="570489D7" w14:textId="77777777" w:rsidR="00A031A6" w:rsidRDefault="00916FD0">
            <w:pPr>
              <w:rPr>
                <w:rFonts w:ascii="Arial" w:eastAsia="Arial" w:hAnsi="Arial" w:cs="Arial"/>
                <w:b/>
                <w:color w:val="FFFFFF"/>
                <w:sz w:val="16"/>
                <w:szCs w:val="16"/>
              </w:rPr>
            </w:pPr>
            <w:r>
              <w:rPr>
                <w:rFonts w:ascii="Arial" w:eastAsia="Arial" w:hAnsi="Arial" w:cs="Arial"/>
                <w:b/>
                <w:color w:val="FFFFFF"/>
                <w:sz w:val="16"/>
                <w:szCs w:val="16"/>
              </w:rPr>
              <w:t>Fuel Price (World Price)</w:t>
            </w:r>
          </w:p>
          <w:p w14:paraId="6428ED6C" w14:textId="77777777" w:rsidR="00A031A6" w:rsidRDefault="00A031A6">
            <w:pPr>
              <w:rPr>
                <w:rFonts w:ascii="Arial" w:eastAsia="Arial" w:hAnsi="Arial" w:cs="Arial"/>
                <w:b/>
                <w:color w:val="FFFFFF"/>
                <w:sz w:val="16"/>
                <w:szCs w:val="16"/>
              </w:rPr>
            </w:pPr>
          </w:p>
        </w:tc>
      </w:tr>
      <w:tr w:rsidR="00A031A6" w14:paraId="1FE38AF8" w14:textId="77777777">
        <w:trPr>
          <w:trHeight w:val="340"/>
        </w:trPr>
        <w:tc>
          <w:tcPr>
            <w:tcW w:w="4531" w:type="dxa"/>
            <w:vAlign w:val="center"/>
          </w:tcPr>
          <w:p w14:paraId="73A81214"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Coal</w:t>
            </w:r>
          </w:p>
        </w:tc>
        <w:tc>
          <w:tcPr>
            <w:tcW w:w="4543" w:type="dxa"/>
            <w:vAlign w:val="center"/>
          </w:tcPr>
          <w:p w14:paraId="11CA7B2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70 US$/ton coal</w:t>
            </w:r>
          </w:p>
        </w:tc>
      </w:tr>
      <w:tr w:rsidR="00A031A6" w14:paraId="5CFD2243" w14:textId="77777777">
        <w:trPr>
          <w:trHeight w:val="340"/>
        </w:trPr>
        <w:tc>
          <w:tcPr>
            <w:tcW w:w="4531" w:type="dxa"/>
            <w:vAlign w:val="center"/>
          </w:tcPr>
          <w:p w14:paraId="775712F9"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Residual fuel oil</w:t>
            </w:r>
          </w:p>
        </w:tc>
        <w:tc>
          <w:tcPr>
            <w:tcW w:w="4543" w:type="dxa"/>
            <w:vAlign w:val="center"/>
          </w:tcPr>
          <w:p w14:paraId="627FD43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450 US$/ton oil</w:t>
            </w:r>
          </w:p>
        </w:tc>
      </w:tr>
      <w:tr w:rsidR="00A031A6" w14:paraId="4693C837" w14:textId="77777777">
        <w:trPr>
          <w:trHeight w:val="340"/>
        </w:trPr>
        <w:tc>
          <w:tcPr>
            <w:tcW w:w="4531" w:type="dxa"/>
            <w:vAlign w:val="center"/>
          </w:tcPr>
          <w:p w14:paraId="76184DD6"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Diesel oil</w:t>
            </w:r>
          </w:p>
        </w:tc>
        <w:tc>
          <w:tcPr>
            <w:tcW w:w="4543" w:type="dxa"/>
            <w:vAlign w:val="center"/>
          </w:tcPr>
          <w:p w14:paraId="1D6F015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600 US$/ton oil</w:t>
            </w:r>
          </w:p>
        </w:tc>
      </w:tr>
      <w:tr w:rsidR="00A031A6" w14:paraId="0F843D3E" w14:textId="77777777">
        <w:trPr>
          <w:trHeight w:val="340"/>
        </w:trPr>
        <w:tc>
          <w:tcPr>
            <w:tcW w:w="4531" w:type="dxa"/>
            <w:vAlign w:val="center"/>
          </w:tcPr>
          <w:p w14:paraId="2E74BCC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Natural gas</w:t>
            </w:r>
          </w:p>
        </w:tc>
        <w:tc>
          <w:tcPr>
            <w:tcW w:w="4543" w:type="dxa"/>
            <w:vAlign w:val="center"/>
          </w:tcPr>
          <w:p w14:paraId="4F79D24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 US$/MMBtu</w:t>
            </w:r>
          </w:p>
        </w:tc>
      </w:tr>
      <w:tr w:rsidR="00A031A6" w14:paraId="36AB0B41" w14:textId="77777777">
        <w:trPr>
          <w:trHeight w:val="340"/>
        </w:trPr>
        <w:tc>
          <w:tcPr>
            <w:tcW w:w="4531" w:type="dxa"/>
            <w:vAlign w:val="center"/>
          </w:tcPr>
          <w:p w14:paraId="5F2E326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Biomass</w:t>
            </w:r>
          </w:p>
        </w:tc>
        <w:tc>
          <w:tcPr>
            <w:tcW w:w="4543" w:type="dxa"/>
            <w:vAlign w:val="center"/>
          </w:tcPr>
          <w:p w14:paraId="0A4FE90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 US$/ton biomass</w:t>
            </w:r>
          </w:p>
        </w:tc>
      </w:tr>
      <w:tr w:rsidR="00A031A6" w14:paraId="5E71C9C8" w14:textId="77777777">
        <w:trPr>
          <w:trHeight w:val="340"/>
        </w:trPr>
        <w:tc>
          <w:tcPr>
            <w:tcW w:w="4531" w:type="dxa"/>
            <w:vAlign w:val="center"/>
          </w:tcPr>
          <w:p w14:paraId="5ADB9D6B"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Nuclear (uranium)</w:t>
            </w:r>
          </w:p>
        </w:tc>
        <w:tc>
          <w:tcPr>
            <w:tcW w:w="4543" w:type="dxa"/>
            <w:vAlign w:val="center"/>
          </w:tcPr>
          <w:p w14:paraId="363305C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1,380 US$/kg uranium</w:t>
            </w:r>
          </w:p>
        </w:tc>
      </w:tr>
    </w:tbl>
    <w:p w14:paraId="4E56EEB9" w14:textId="77777777" w:rsidR="00A031A6" w:rsidRDefault="00A031A6">
      <w:pPr>
        <w:keepNext/>
        <w:pBdr>
          <w:top w:val="nil"/>
          <w:left w:val="nil"/>
          <w:bottom w:val="nil"/>
          <w:right w:val="nil"/>
          <w:between w:val="nil"/>
        </w:pBdr>
        <w:spacing w:after="200" w:line="240" w:lineRule="auto"/>
        <w:jc w:val="center"/>
        <w:rPr>
          <w:rFonts w:ascii="Arial" w:eastAsia="Arial" w:hAnsi="Arial" w:cs="Arial"/>
          <w:b/>
          <w:color w:val="000000"/>
          <w:sz w:val="20"/>
          <w:szCs w:val="20"/>
        </w:rPr>
        <w:sectPr w:rsidR="00A031A6">
          <w:type w:val="continuous"/>
          <w:pgSz w:w="11906" w:h="16838"/>
          <w:pgMar w:top="1440" w:right="1440" w:bottom="1440" w:left="1440" w:header="708" w:footer="708" w:gutter="0"/>
          <w:cols w:space="720"/>
        </w:sectPr>
      </w:pPr>
    </w:p>
    <w:p w14:paraId="78110CB7" w14:textId="77777777" w:rsidR="00A031A6" w:rsidRDefault="00916FD0">
      <w:pPr>
        <w:pBdr>
          <w:top w:val="nil"/>
          <w:left w:val="nil"/>
          <w:bottom w:val="nil"/>
          <w:right w:val="nil"/>
          <w:between w:val="nil"/>
        </w:pBdr>
        <w:spacing w:after="200" w:line="240" w:lineRule="auto"/>
        <w:jc w:val="center"/>
        <w:rPr>
          <w:rFonts w:ascii="Arial" w:eastAsia="Arial" w:hAnsi="Arial" w:cs="Arial"/>
          <w:b/>
          <w:color w:val="000000"/>
        </w:rPr>
      </w:pPr>
      <w:bookmarkStart w:id="167" w:name="_1c1lvlb" w:colFirst="0" w:colLast="0"/>
      <w:bookmarkEnd w:id="167"/>
      <w:r>
        <w:rPr>
          <w:rFonts w:ascii="Arial" w:eastAsia="Arial" w:hAnsi="Arial" w:cs="Arial"/>
          <w:b/>
          <w:color w:val="000000"/>
          <w:sz w:val="20"/>
          <w:szCs w:val="20"/>
        </w:rPr>
        <w:lastRenderedPageBreak/>
        <w:t>Table 19. Capacity Factor for power plant technologies</w:t>
      </w:r>
    </w:p>
    <w:tbl>
      <w:tblPr>
        <w:tblStyle w:val="af6"/>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48"/>
      </w:tblGrid>
      <w:tr w:rsidR="00A031A6" w14:paraId="4650C803" w14:textId="77777777">
        <w:trPr>
          <w:trHeight w:val="57"/>
        </w:trPr>
        <w:tc>
          <w:tcPr>
            <w:tcW w:w="9084" w:type="dxa"/>
            <w:gridSpan w:val="2"/>
            <w:shd w:val="clear" w:color="auto" w:fill="808080"/>
            <w:vAlign w:val="center"/>
          </w:tcPr>
          <w:p w14:paraId="4121BCB2" w14:textId="77777777" w:rsidR="00A031A6" w:rsidRDefault="00916FD0">
            <w:pPr>
              <w:rPr>
                <w:rFonts w:ascii="Arial" w:eastAsia="Arial" w:hAnsi="Arial" w:cs="Arial"/>
                <w:b/>
                <w:color w:val="FFFFFF"/>
                <w:sz w:val="16"/>
                <w:szCs w:val="16"/>
              </w:rPr>
            </w:pPr>
            <w:r>
              <w:rPr>
                <w:rFonts w:ascii="Arial" w:eastAsia="Arial" w:hAnsi="Arial" w:cs="Arial"/>
                <w:b/>
                <w:color w:val="FFFFFF"/>
                <w:sz w:val="16"/>
                <w:szCs w:val="16"/>
              </w:rPr>
              <w:t>Capacity Factor</w:t>
            </w:r>
          </w:p>
        </w:tc>
      </w:tr>
      <w:tr w:rsidR="00A031A6" w14:paraId="18CD43BC" w14:textId="77777777">
        <w:trPr>
          <w:trHeight w:val="340"/>
        </w:trPr>
        <w:tc>
          <w:tcPr>
            <w:tcW w:w="4536" w:type="dxa"/>
            <w:vAlign w:val="center"/>
          </w:tcPr>
          <w:p w14:paraId="241602A5"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Coal</w:t>
            </w:r>
          </w:p>
        </w:tc>
        <w:tc>
          <w:tcPr>
            <w:tcW w:w="4548" w:type="dxa"/>
            <w:vAlign w:val="center"/>
          </w:tcPr>
          <w:p w14:paraId="7B70287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57</w:t>
            </w:r>
          </w:p>
        </w:tc>
      </w:tr>
      <w:tr w:rsidR="00A031A6" w14:paraId="0E6C5139" w14:textId="77777777">
        <w:trPr>
          <w:trHeight w:val="340"/>
        </w:trPr>
        <w:tc>
          <w:tcPr>
            <w:tcW w:w="4536" w:type="dxa"/>
            <w:vAlign w:val="center"/>
          </w:tcPr>
          <w:p w14:paraId="15AC495C"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Natural gas</w:t>
            </w:r>
          </w:p>
        </w:tc>
        <w:tc>
          <w:tcPr>
            <w:tcW w:w="4548" w:type="dxa"/>
            <w:vAlign w:val="center"/>
          </w:tcPr>
          <w:p w14:paraId="0D86FB8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37</w:t>
            </w:r>
          </w:p>
        </w:tc>
      </w:tr>
      <w:tr w:rsidR="00A031A6" w14:paraId="09A8E32F" w14:textId="77777777">
        <w:trPr>
          <w:trHeight w:val="340"/>
        </w:trPr>
        <w:tc>
          <w:tcPr>
            <w:tcW w:w="4536" w:type="dxa"/>
            <w:vAlign w:val="center"/>
          </w:tcPr>
          <w:p w14:paraId="6C74AFC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Combined cycle gas turbine</w:t>
            </w:r>
          </w:p>
        </w:tc>
        <w:tc>
          <w:tcPr>
            <w:tcW w:w="4548" w:type="dxa"/>
            <w:vAlign w:val="center"/>
          </w:tcPr>
          <w:p w14:paraId="538753D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56</w:t>
            </w:r>
          </w:p>
        </w:tc>
      </w:tr>
      <w:tr w:rsidR="00A031A6" w14:paraId="7FB13502" w14:textId="77777777">
        <w:trPr>
          <w:trHeight w:val="340"/>
        </w:trPr>
        <w:tc>
          <w:tcPr>
            <w:tcW w:w="4536" w:type="dxa"/>
            <w:vAlign w:val="center"/>
          </w:tcPr>
          <w:p w14:paraId="2F2047C2"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Geothermal</w:t>
            </w:r>
          </w:p>
        </w:tc>
        <w:tc>
          <w:tcPr>
            <w:tcW w:w="4548" w:type="dxa"/>
            <w:vAlign w:val="center"/>
          </w:tcPr>
          <w:p w14:paraId="046DB47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73</w:t>
            </w:r>
          </w:p>
        </w:tc>
      </w:tr>
      <w:tr w:rsidR="00A031A6" w14:paraId="116B76AE" w14:textId="77777777">
        <w:trPr>
          <w:trHeight w:val="340"/>
        </w:trPr>
        <w:tc>
          <w:tcPr>
            <w:tcW w:w="4536" w:type="dxa"/>
            <w:vAlign w:val="center"/>
          </w:tcPr>
          <w:p w14:paraId="4C4B90A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Hydropower</w:t>
            </w:r>
          </w:p>
        </w:tc>
        <w:tc>
          <w:tcPr>
            <w:tcW w:w="4548" w:type="dxa"/>
            <w:vAlign w:val="center"/>
          </w:tcPr>
          <w:p w14:paraId="09F8308E"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40</w:t>
            </w:r>
          </w:p>
        </w:tc>
      </w:tr>
      <w:tr w:rsidR="00A031A6" w14:paraId="164F6258" w14:textId="77777777">
        <w:trPr>
          <w:trHeight w:val="340"/>
        </w:trPr>
        <w:tc>
          <w:tcPr>
            <w:tcW w:w="4536" w:type="dxa"/>
            <w:vAlign w:val="center"/>
          </w:tcPr>
          <w:p w14:paraId="62B4A27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Solar</w:t>
            </w:r>
          </w:p>
        </w:tc>
        <w:tc>
          <w:tcPr>
            <w:tcW w:w="4548" w:type="dxa"/>
            <w:vAlign w:val="center"/>
          </w:tcPr>
          <w:p w14:paraId="46C8897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19</w:t>
            </w:r>
          </w:p>
        </w:tc>
      </w:tr>
      <w:tr w:rsidR="00A031A6" w14:paraId="0B2DD4D4" w14:textId="77777777">
        <w:trPr>
          <w:trHeight w:val="340"/>
        </w:trPr>
        <w:tc>
          <w:tcPr>
            <w:tcW w:w="4536" w:type="dxa"/>
            <w:vAlign w:val="center"/>
          </w:tcPr>
          <w:p w14:paraId="7E7C8CF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Biomass</w:t>
            </w:r>
          </w:p>
        </w:tc>
        <w:tc>
          <w:tcPr>
            <w:tcW w:w="4548" w:type="dxa"/>
            <w:vAlign w:val="center"/>
          </w:tcPr>
          <w:p w14:paraId="0B38555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w:t>
            </w:r>
          </w:p>
        </w:tc>
      </w:tr>
      <w:tr w:rsidR="00A031A6" w14:paraId="26343975" w14:textId="77777777">
        <w:trPr>
          <w:trHeight w:val="340"/>
        </w:trPr>
        <w:tc>
          <w:tcPr>
            <w:tcW w:w="4536" w:type="dxa"/>
            <w:vAlign w:val="center"/>
          </w:tcPr>
          <w:p w14:paraId="784A78AB"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Nuclear (uranium)</w:t>
            </w:r>
          </w:p>
        </w:tc>
        <w:tc>
          <w:tcPr>
            <w:tcW w:w="4548" w:type="dxa"/>
            <w:vAlign w:val="center"/>
          </w:tcPr>
          <w:p w14:paraId="5C04260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95</w:t>
            </w:r>
          </w:p>
        </w:tc>
      </w:tr>
      <w:tr w:rsidR="00A031A6" w14:paraId="204EB9A1" w14:textId="77777777">
        <w:trPr>
          <w:trHeight w:val="340"/>
        </w:trPr>
        <w:tc>
          <w:tcPr>
            <w:tcW w:w="4536" w:type="dxa"/>
            <w:vAlign w:val="center"/>
          </w:tcPr>
          <w:p w14:paraId="3C8CFF97"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Wind (onshore)</w:t>
            </w:r>
          </w:p>
        </w:tc>
        <w:tc>
          <w:tcPr>
            <w:tcW w:w="4548" w:type="dxa"/>
            <w:vAlign w:val="center"/>
          </w:tcPr>
          <w:p w14:paraId="083625A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 xml:space="preserve">35 </w:t>
            </w:r>
          </w:p>
        </w:tc>
      </w:tr>
      <w:tr w:rsidR="00A031A6" w14:paraId="184E5822" w14:textId="77777777">
        <w:trPr>
          <w:trHeight w:val="340"/>
        </w:trPr>
        <w:tc>
          <w:tcPr>
            <w:tcW w:w="4536" w:type="dxa"/>
            <w:vAlign w:val="center"/>
          </w:tcPr>
          <w:p w14:paraId="0734200C"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 xml:space="preserve">Wind (offshore) </w:t>
            </w:r>
          </w:p>
        </w:tc>
        <w:tc>
          <w:tcPr>
            <w:tcW w:w="4548" w:type="dxa"/>
            <w:vAlign w:val="center"/>
          </w:tcPr>
          <w:p w14:paraId="75BE159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43</w:t>
            </w:r>
          </w:p>
        </w:tc>
      </w:tr>
    </w:tbl>
    <w:p w14:paraId="1097DEF4" w14:textId="77777777" w:rsidR="00A031A6" w:rsidRDefault="00A031A6">
      <w:pPr>
        <w:rPr>
          <w:rFonts w:ascii="Arial" w:eastAsia="Arial" w:hAnsi="Arial" w:cs="Arial"/>
          <w:b/>
          <w:sz w:val="20"/>
          <w:szCs w:val="20"/>
        </w:rPr>
      </w:pPr>
    </w:p>
    <w:p w14:paraId="2D50FEDF" w14:textId="77777777" w:rsidR="00A031A6" w:rsidRDefault="00916FD0">
      <w:pPr>
        <w:rPr>
          <w:rFonts w:ascii="Arial" w:eastAsia="Arial" w:hAnsi="Arial" w:cs="Arial"/>
          <w:b/>
          <w:sz w:val="20"/>
          <w:szCs w:val="20"/>
        </w:rPr>
      </w:pPr>
      <w:r>
        <w:rPr>
          <w:rFonts w:ascii="Arial" w:eastAsia="Arial" w:hAnsi="Arial" w:cs="Arial"/>
          <w:b/>
          <w:sz w:val="20"/>
          <w:szCs w:val="20"/>
        </w:rPr>
        <w:t>Technology Data for the Indonesian Power Sector*</w:t>
      </w:r>
    </w:p>
    <w:p w14:paraId="174E8EC0" w14:textId="77777777" w:rsidR="00A031A6" w:rsidRDefault="00916FD0">
      <w:pPr>
        <w:pBdr>
          <w:top w:val="nil"/>
          <w:left w:val="nil"/>
          <w:bottom w:val="nil"/>
          <w:right w:val="nil"/>
          <w:between w:val="nil"/>
        </w:pBdr>
        <w:spacing w:after="200" w:line="240" w:lineRule="auto"/>
        <w:jc w:val="center"/>
        <w:rPr>
          <w:rFonts w:ascii="Arial" w:eastAsia="Arial" w:hAnsi="Arial" w:cs="Arial"/>
          <w:b/>
          <w:color w:val="000000"/>
          <w:sz w:val="20"/>
          <w:szCs w:val="20"/>
        </w:rPr>
      </w:pPr>
      <w:bookmarkStart w:id="168" w:name="_3w19e94" w:colFirst="0" w:colLast="0"/>
      <w:bookmarkEnd w:id="168"/>
      <w:r>
        <w:rPr>
          <w:rFonts w:ascii="Arial" w:eastAsia="Arial" w:hAnsi="Arial" w:cs="Arial"/>
          <w:b/>
          <w:color w:val="000000"/>
          <w:sz w:val="20"/>
          <w:szCs w:val="20"/>
        </w:rPr>
        <w:t>Table 20. Indonesia technology cost data</w:t>
      </w:r>
    </w:p>
    <w:tbl>
      <w:tblPr>
        <w:tblStyle w:val="af7"/>
        <w:tblW w:w="9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1587"/>
        <w:gridCol w:w="1587"/>
        <w:gridCol w:w="1587"/>
      </w:tblGrid>
      <w:tr w:rsidR="00A031A6" w14:paraId="0DFC300A" w14:textId="77777777">
        <w:trPr>
          <w:trHeight w:val="340"/>
        </w:trPr>
        <w:tc>
          <w:tcPr>
            <w:tcW w:w="4398" w:type="dxa"/>
            <w:shd w:val="clear" w:color="auto" w:fill="808080"/>
            <w:vAlign w:val="center"/>
          </w:tcPr>
          <w:p w14:paraId="3BC71825" w14:textId="77777777" w:rsidR="00A031A6" w:rsidRDefault="00916FD0">
            <w:pPr>
              <w:rPr>
                <w:rFonts w:ascii="Arial" w:eastAsia="Arial" w:hAnsi="Arial" w:cs="Arial"/>
                <w:b/>
                <w:color w:val="FFFFFF"/>
                <w:sz w:val="16"/>
                <w:szCs w:val="16"/>
              </w:rPr>
            </w:pPr>
            <w:r>
              <w:rPr>
                <w:rFonts w:ascii="Arial" w:eastAsia="Arial" w:hAnsi="Arial" w:cs="Arial"/>
                <w:b/>
                <w:color w:val="FFFFFF"/>
                <w:sz w:val="16"/>
                <w:szCs w:val="16"/>
              </w:rPr>
              <w:t>Technologies</w:t>
            </w:r>
          </w:p>
        </w:tc>
        <w:tc>
          <w:tcPr>
            <w:tcW w:w="1587" w:type="dxa"/>
            <w:shd w:val="clear" w:color="auto" w:fill="808080"/>
            <w:vAlign w:val="center"/>
          </w:tcPr>
          <w:p w14:paraId="5FF6065A"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CAPEX/MW (US$/MW)</w:t>
            </w:r>
          </w:p>
        </w:tc>
        <w:tc>
          <w:tcPr>
            <w:tcW w:w="1587" w:type="dxa"/>
            <w:shd w:val="clear" w:color="auto" w:fill="808080"/>
            <w:vAlign w:val="center"/>
          </w:tcPr>
          <w:p w14:paraId="7C5E8C66"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Fixed O&amp;M (US$/MW)</w:t>
            </w:r>
          </w:p>
        </w:tc>
        <w:tc>
          <w:tcPr>
            <w:tcW w:w="1587" w:type="dxa"/>
            <w:shd w:val="clear" w:color="auto" w:fill="808080"/>
            <w:vAlign w:val="center"/>
          </w:tcPr>
          <w:p w14:paraId="523D1FDD"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Variable O&amp;M (US$/MWH)</w:t>
            </w:r>
          </w:p>
        </w:tc>
      </w:tr>
      <w:tr w:rsidR="00A031A6" w14:paraId="7FEB838C" w14:textId="77777777">
        <w:trPr>
          <w:trHeight w:val="340"/>
        </w:trPr>
        <w:tc>
          <w:tcPr>
            <w:tcW w:w="4398" w:type="dxa"/>
            <w:vAlign w:val="center"/>
          </w:tcPr>
          <w:p w14:paraId="1ECB9F7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Geothermal PP</w:t>
            </w:r>
          </w:p>
        </w:tc>
        <w:tc>
          <w:tcPr>
            <w:tcW w:w="1587" w:type="dxa"/>
            <w:vAlign w:val="center"/>
          </w:tcPr>
          <w:p w14:paraId="04B0612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3,500,000</w:t>
            </w:r>
          </w:p>
        </w:tc>
        <w:tc>
          <w:tcPr>
            <w:tcW w:w="1587" w:type="dxa"/>
            <w:vAlign w:val="center"/>
          </w:tcPr>
          <w:p w14:paraId="7D8D053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18,000</w:t>
            </w:r>
          </w:p>
        </w:tc>
        <w:tc>
          <w:tcPr>
            <w:tcW w:w="1587" w:type="dxa"/>
            <w:vAlign w:val="center"/>
          </w:tcPr>
          <w:p w14:paraId="260DF13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0.3</w:t>
            </w:r>
          </w:p>
        </w:tc>
      </w:tr>
      <w:tr w:rsidR="00A031A6" w14:paraId="2586595E" w14:textId="77777777">
        <w:trPr>
          <w:trHeight w:val="340"/>
        </w:trPr>
        <w:tc>
          <w:tcPr>
            <w:tcW w:w="4398" w:type="dxa"/>
            <w:vAlign w:val="center"/>
          </w:tcPr>
          <w:p w14:paraId="0922976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Micro hydro PP</w:t>
            </w:r>
          </w:p>
        </w:tc>
        <w:tc>
          <w:tcPr>
            <w:tcW w:w="1587" w:type="dxa"/>
            <w:vAlign w:val="center"/>
          </w:tcPr>
          <w:p w14:paraId="0F16587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2,600,000</w:t>
            </w:r>
          </w:p>
        </w:tc>
        <w:tc>
          <w:tcPr>
            <w:tcW w:w="1587" w:type="dxa"/>
            <w:vAlign w:val="center"/>
          </w:tcPr>
          <w:p w14:paraId="674C296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53,000</w:t>
            </w:r>
          </w:p>
        </w:tc>
        <w:tc>
          <w:tcPr>
            <w:tcW w:w="1587" w:type="dxa"/>
            <w:vAlign w:val="center"/>
          </w:tcPr>
          <w:p w14:paraId="6FDDA81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0.5</w:t>
            </w:r>
          </w:p>
        </w:tc>
      </w:tr>
      <w:tr w:rsidR="00A031A6" w14:paraId="301B87B6" w14:textId="77777777">
        <w:trPr>
          <w:trHeight w:val="340"/>
        </w:trPr>
        <w:tc>
          <w:tcPr>
            <w:tcW w:w="4398" w:type="dxa"/>
            <w:vAlign w:val="center"/>
          </w:tcPr>
          <w:p w14:paraId="2E1F2AEA"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Mini hydro PP</w:t>
            </w:r>
          </w:p>
        </w:tc>
        <w:tc>
          <w:tcPr>
            <w:tcW w:w="1587" w:type="dxa"/>
            <w:vAlign w:val="center"/>
          </w:tcPr>
          <w:p w14:paraId="7CBE1C9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2,200,000</w:t>
            </w:r>
          </w:p>
        </w:tc>
        <w:tc>
          <w:tcPr>
            <w:tcW w:w="1587" w:type="dxa"/>
            <w:vAlign w:val="center"/>
          </w:tcPr>
          <w:p w14:paraId="245B8E9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41,900</w:t>
            </w:r>
          </w:p>
        </w:tc>
        <w:tc>
          <w:tcPr>
            <w:tcW w:w="1587" w:type="dxa"/>
            <w:vAlign w:val="center"/>
          </w:tcPr>
          <w:p w14:paraId="6779360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0.5</w:t>
            </w:r>
          </w:p>
        </w:tc>
      </w:tr>
      <w:tr w:rsidR="00A031A6" w14:paraId="0A4306ED" w14:textId="77777777">
        <w:trPr>
          <w:trHeight w:val="340"/>
        </w:trPr>
        <w:tc>
          <w:tcPr>
            <w:tcW w:w="4398" w:type="dxa"/>
            <w:vAlign w:val="center"/>
          </w:tcPr>
          <w:p w14:paraId="2B3215AE"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Hydro PP</w:t>
            </w:r>
          </w:p>
        </w:tc>
        <w:tc>
          <w:tcPr>
            <w:tcW w:w="1587" w:type="dxa"/>
            <w:vAlign w:val="center"/>
          </w:tcPr>
          <w:p w14:paraId="3B766F6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2,000,000</w:t>
            </w:r>
          </w:p>
        </w:tc>
        <w:tc>
          <w:tcPr>
            <w:tcW w:w="1587" w:type="dxa"/>
            <w:vAlign w:val="center"/>
          </w:tcPr>
          <w:p w14:paraId="499CAF4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37,700</w:t>
            </w:r>
          </w:p>
        </w:tc>
        <w:tc>
          <w:tcPr>
            <w:tcW w:w="1587" w:type="dxa"/>
            <w:vAlign w:val="center"/>
          </w:tcPr>
          <w:p w14:paraId="1AFD80C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0.7</w:t>
            </w:r>
          </w:p>
        </w:tc>
      </w:tr>
      <w:tr w:rsidR="00A031A6" w14:paraId="648EEF49" w14:textId="77777777">
        <w:trPr>
          <w:trHeight w:val="340"/>
        </w:trPr>
        <w:tc>
          <w:tcPr>
            <w:tcW w:w="4398" w:type="dxa"/>
            <w:vAlign w:val="center"/>
          </w:tcPr>
          <w:p w14:paraId="486D6C64"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Solar photovoltaic PP</w:t>
            </w:r>
          </w:p>
        </w:tc>
        <w:tc>
          <w:tcPr>
            <w:tcW w:w="1587" w:type="dxa"/>
            <w:vAlign w:val="center"/>
          </w:tcPr>
          <w:p w14:paraId="28E41E4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830,000</w:t>
            </w:r>
          </w:p>
        </w:tc>
        <w:tc>
          <w:tcPr>
            <w:tcW w:w="1587" w:type="dxa"/>
            <w:vAlign w:val="center"/>
          </w:tcPr>
          <w:p w14:paraId="526B785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15,000</w:t>
            </w:r>
          </w:p>
        </w:tc>
        <w:tc>
          <w:tcPr>
            <w:tcW w:w="1587" w:type="dxa"/>
            <w:vAlign w:val="center"/>
          </w:tcPr>
          <w:p w14:paraId="7FF491E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14:paraId="12CC9375" w14:textId="77777777">
        <w:trPr>
          <w:trHeight w:val="340"/>
        </w:trPr>
        <w:tc>
          <w:tcPr>
            <w:tcW w:w="4398" w:type="dxa"/>
            <w:vAlign w:val="center"/>
          </w:tcPr>
          <w:p w14:paraId="5A7EBABB"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Onshore wind</w:t>
            </w:r>
          </w:p>
        </w:tc>
        <w:tc>
          <w:tcPr>
            <w:tcW w:w="1587" w:type="dxa"/>
            <w:vAlign w:val="center"/>
          </w:tcPr>
          <w:p w14:paraId="4ACE716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1,500,000</w:t>
            </w:r>
          </w:p>
        </w:tc>
        <w:tc>
          <w:tcPr>
            <w:tcW w:w="1587" w:type="dxa"/>
            <w:vAlign w:val="center"/>
          </w:tcPr>
          <w:p w14:paraId="6CE12B3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60,000</w:t>
            </w:r>
          </w:p>
        </w:tc>
        <w:tc>
          <w:tcPr>
            <w:tcW w:w="1587" w:type="dxa"/>
            <w:vAlign w:val="center"/>
          </w:tcPr>
          <w:p w14:paraId="1544FDE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14:paraId="37E4E4F6" w14:textId="77777777">
        <w:trPr>
          <w:trHeight w:val="340"/>
        </w:trPr>
        <w:tc>
          <w:tcPr>
            <w:tcW w:w="4398" w:type="dxa"/>
            <w:vAlign w:val="center"/>
          </w:tcPr>
          <w:p w14:paraId="4D41A68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Offshore wind</w:t>
            </w:r>
          </w:p>
        </w:tc>
        <w:tc>
          <w:tcPr>
            <w:tcW w:w="1587" w:type="dxa"/>
            <w:vAlign w:val="center"/>
          </w:tcPr>
          <w:p w14:paraId="6A9D62C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3,500,000</w:t>
            </w:r>
          </w:p>
        </w:tc>
        <w:tc>
          <w:tcPr>
            <w:tcW w:w="1587" w:type="dxa"/>
            <w:vAlign w:val="center"/>
          </w:tcPr>
          <w:p w14:paraId="32E343C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72,600</w:t>
            </w:r>
          </w:p>
        </w:tc>
        <w:tc>
          <w:tcPr>
            <w:tcW w:w="1587" w:type="dxa"/>
            <w:vAlign w:val="center"/>
          </w:tcPr>
          <w:p w14:paraId="53AD3C0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14:paraId="15537B95" w14:textId="77777777">
        <w:trPr>
          <w:trHeight w:val="340"/>
        </w:trPr>
        <w:tc>
          <w:tcPr>
            <w:tcW w:w="4398" w:type="dxa"/>
            <w:vAlign w:val="center"/>
          </w:tcPr>
          <w:p w14:paraId="633073FA"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Sub-critical pulverised coal</w:t>
            </w:r>
          </w:p>
        </w:tc>
        <w:tc>
          <w:tcPr>
            <w:tcW w:w="1587" w:type="dxa"/>
            <w:vAlign w:val="center"/>
          </w:tcPr>
          <w:p w14:paraId="54DE2A0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1,650,000</w:t>
            </w:r>
          </w:p>
        </w:tc>
        <w:tc>
          <w:tcPr>
            <w:tcW w:w="1587" w:type="dxa"/>
            <w:vAlign w:val="center"/>
          </w:tcPr>
          <w:p w14:paraId="69FEC06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45,250</w:t>
            </w:r>
          </w:p>
        </w:tc>
        <w:tc>
          <w:tcPr>
            <w:tcW w:w="1587" w:type="dxa"/>
            <w:vAlign w:val="center"/>
          </w:tcPr>
          <w:p w14:paraId="6D273CC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39F8018C" w14:textId="77777777">
        <w:trPr>
          <w:trHeight w:val="340"/>
        </w:trPr>
        <w:tc>
          <w:tcPr>
            <w:tcW w:w="4398" w:type="dxa"/>
            <w:vAlign w:val="center"/>
          </w:tcPr>
          <w:p w14:paraId="3EB8BC26"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Super-critical pulverised coal (SC)</w:t>
            </w:r>
          </w:p>
        </w:tc>
        <w:tc>
          <w:tcPr>
            <w:tcW w:w="1587" w:type="dxa"/>
            <w:vAlign w:val="center"/>
          </w:tcPr>
          <w:p w14:paraId="5016E06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1,400,000</w:t>
            </w:r>
          </w:p>
        </w:tc>
        <w:tc>
          <w:tcPr>
            <w:tcW w:w="1587" w:type="dxa"/>
            <w:vAlign w:val="center"/>
          </w:tcPr>
          <w:p w14:paraId="18ABF77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41,200</w:t>
            </w:r>
          </w:p>
        </w:tc>
        <w:tc>
          <w:tcPr>
            <w:tcW w:w="1587" w:type="dxa"/>
            <w:vAlign w:val="center"/>
          </w:tcPr>
          <w:p w14:paraId="184213A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16740B6F" w14:textId="77777777">
        <w:trPr>
          <w:trHeight w:val="340"/>
        </w:trPr>
        <w:tc>
          <w:tcPr>
            <w:tcW w:w="4398" w:type="dxa"/>
            <w:vAlign w:val="center"/>
          </w:tcPr>
          <w:p w14:paraId="7A602D9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Ultra-super-critical pulverised coal (USC)</w:t>
            </w:r>
          </w:p>
        </w:tc>
        <w:tc>
          <w:tcPr>
            <w:tcW w:w="1587" w:type="dxa"/>
            <w:vAlign w:val="center"/>
          </w:tcPr>
          <w:p w14:paraId="56C158D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1,520,000</w:t>
            </w:r>
          </w:p>
        </w:tc>
        <w:tc>
          <w:tcPr>
            <w:tcW w:w="1587" w:type="dxa"/>
            <w:vAlign w:val="center"/>
          </w:tcPr>
          <w:p w14:paraId="5278F98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56,600</w:t>
            </w:r>
          </w:p>
        </w:tc>
        <w:tc>
          <w:tcPr>
            <w:tcW w:w="1587" w:type="dxa"/>
            <w:vAlign w:val="center"/>
          </w:tcPr>
          <w:p w14:paraId="0608B0D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55A709BE" w14:textId="77777777">
        <w:trPr>
          <w:trHeight w:val="340"/>
        </w:trPr>
        <w:tc>
          <w:tcPr>
            <w:tcW w:w="4398" w:type="dxa"/>
            <w:vAlign w:val="center"/>
          </w:tcPr>
          <w:p w14:paraId="7CE75C11"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Circulating fluidised bed combustion (CFBC)</w:t>
            </w:r>
          </w:p>
        </w:tc>
        <w:tc>
          <w:tcPr>
            <w:tcW w:w="1587" w:type="dxa"/>
            <w:vAlign w:val="center"/>
          </w:tcPr>
          <w:p w14:paraId="52C3E19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1,153,000</w:t>
            </w:r>
          </w:p>
        </w:tc>
        <w:tc>
          <w:tcPr>
            <w:tcW w:w="1587" w:type="dxa"/>
            <w:vAlign w:val="center"/>
          </w:tcPr>
          <w:p w14:paraId="3FB29A4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42,200</w:t>
            </w:r>
          </w:p>
        </w:tc>
        <w:tc>
          <w:tcPr>
            <w:tcW w:w="1587" w:type="dxa"/>
            <w:vAlign w:val="center"/>
          </w:tcPr>
          <w:p w14:paraId="41D64F2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4A539BE3" w14:textId="77777777">
        <w:trPr>
          <w:trHeight w:val="340"/>
        </w:trPr>
        <w:tc>
          <w:tcPr>
            <w:tcW w:w="4398" w:type="dxa"/>
            <w:vAlign w:val="center"/>
          </w:tcPr>
          <w:p w14:paraId="042DACEC"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Integrated coal-gasification comb cycle (IGCC)</w:t>
            </w:r>
          </w:p>
        </w:tc>
        <w:tc>
          <w:tcPr>
            <w:tcW w:w="1587" w:type="dxa"/>
            <w:vAlign w:val="center"/>
          </w:tcPr>
          <w:p w14:paraId="674F869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4,409,000</w:t>
            </w:r>
          </w:p>
        </w:tc>
        <w:tc>
          <w:tcPr>
            <w:tcW w:w="1587" w:type="dxa"/>
            <w:vAlign w:val="center"/>
          </w:tcPr>
          <w:p w14:paraId="70EC2DA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39,000</w:t>
            </w:r>
          </w:p>
        </w:tc>
        <w:tc>
          <w:tcPr>
            <w:tcW w:w="1587" w:type="dxa"/>
            <w:vAlign w:val="center"/>
          </w:tcPr>
          <w:p w14:paraId="2FA0E3E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10756829" w14:textId="77777777">
        <w:trPr>
          <w:trHeight w:val="340"/>
        </w:trPr>
        <w:tc>
          <w:tcPr>
            <w:tcW w:w="4398" w:type="dxa"/>
            <w:vAlign w:val="center"/>
          </w:tcPr>
          <w:p w14:paraId="0490293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Ultra-super-critical pulverised coal w/CCS (30% reduction)</w:t>
            </w:r>
          </w:p>
        </w:tc>
        <w:tc>
          <w:tcPr>
            <w:tcW w:w="1587" w:type="dxa"/>
            <w:vAlign w:val="center"/>
          </w:tcPr>
          <w:p w14:paraId="2988C21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5,180,000</w:t>
            </w:r>
          </w:p>
        </w:tc>
        <w:tc>
          <w:tcPr>
            <w:tcW w:w="1587" w:type="dxa"/>
            <w:vAlign w:val="center"/>
          </w:tcPr>
          <w:p w14:paraId="7E8BF52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39,000</w:t>
            </w:r>
          </w:p>
        </w:tc>
        <w:tc>
          <w:tcPr>
            <w:tcW w:w="1587" w:type="dxa"/>
            <w:vAlign w:val="center"/>
          </w:tcPr>
          <w:p w14:paraId="5A47D2F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65E770B0" w14:textId="77777777">
        <w:trPr>
          <w:trHeight w:val="340"/>
        </w:trPr>
        <w:tc>
          <w:tcPr>
            <w:tcW w:w="4398" w:type="dxa"/>
            <w:vAlign w:val="center"/>
          </w:tcPr>
          <w:p w14:paraId="0329AE3C"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Biomass PP</w:t>
            </w:r>
          </w:p>
        </w:tc>
        <w:tc>
          <w:tcPr>
            <w:tcW w:w="1587" w:type="dxa"/>
            <w:vAlign w:val="center"/>
          </w:tcPr>
          <w:p w14:paraId="710DF64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1,700,000</w:t>
            </w:r>
          </w:p>
        </w:tc>
        <w:tc>
          <w:tcPr>
            <w:tcW w:w="1587" w:type="dxa"/>
            <w:vAlign w:val="center"/>
          </w:tcPr>
          <w:p w14:paraId="3FAD203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47,600</w:t>
            </w:r>
          </w:p>
        </w:tc>
        <w:tc>
          <w:tcPr>
            <w:tcW w:w="1587" w:type="dxa"/>
            <w:vAlign w:val="center"/>
          </w:tcPr>
          <w:p w14:paraId="6FBAA20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w:t>
            </w:r>
          </w:p>
        </w:tc>
      </w:tr>
      <w:tr w:rsidR="00A031A6" w14:paraId="1E59D25F" w14:textId="77777777">
        <w:trPr>
          <w:trHeight w:val="340"/>
        </w:trPr>
        <w:tc>
          <w:tcPr>
            <w:tcW w:w="4398" w:type="dxa"/>
            <w:vAlign w:val="center"/>
          </w:tcPr>
          <w:p w14:paraId="7ADAF0F7"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Biogas PP</w:t>
            </w:r>
          </w:p>
        </w:tc>
        <w:tc>
          <w:tcPr>
            <w:tcW w:w="1587" w:type="dxa"/>
            <w:vAlign w:val="center"/>
          </w:tcPr>
          <w:p w14:paraId="3C5B3C8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2,800,000</w:t>
            </w:r>
          </w:p>
        </w:tc>
        <w:tc>
          <w:tcPr>
            <w:tcW w:w="1587" w:type="dxa"/>
            <w:vAlign w:val="center"/>
          </w:tcPr>
          <w:p w14:paraId="132EBAC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109,000</w:t>
            </w:r>
          </w:p>
        </w:tc>
        <w:tc>
          <w:tcPr>
            <w:tcW w:w="1587" w:type="dxa"/>
            <w:vAlign w:val="center"/>
          </w:tcPr>
          <w:p w14:paraId="02C017B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2F3AAC83" w14:textId="77777777">
        <w:trPr>
          <w:trHeight w:val="340"/>
        </w:trPr>
        <w:tc>
          <w:tcPr>
            <w:tcW w:w="4398" w:type="dxa"/>
            <w:vAlign w:val="center"/>
          </w:tcPr>
          <w:p w14:paraId="76E83DA9"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Single cycle gas turbine</w:t>
            </w:r>
          </w:p>
        </w:tc>
        <w:tc>
          <w:tcPr>
            <w:tcW w:w="1587" w:type="dxa"/>
            <w:vAlign w:val="center"/>
          </w:tcPr>
          <w:p w14:paraId="4692613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770,000</w:t>
            </w:r>
          </w:p>
        </w:tc>
        <w:tc>
          <w:tcPr>
            <w:tcW w:w="1587" w:type="dxa"/>
            <w:vAlign w:val="center"/>
          </w:tcPr>
          <w:p w14:paraId="78A99A9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23,200</w:t>
            </w:r>
          </w:p>
        </w:tc>
        <w:tc>
          <w:tcPr>
            <w:tcW w:w="1587" w:type="dxa"/>
            <w:vAlign w:val="center"/>
          </w:tcPr>
          <w:p w14:paraId="1D9D1BA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1A3EBDDD" w14:textId="77777777">
        <w:trPr>
          <w:trHeight w:val="340"/>
        </w:trPr>
        <w:tc>
          <w:tcPr>
            <w:tcW w:w="4398" w:type="dxa"/>
            <w:vAlign w:val="center"/>
          </w:tcPr>
          <w:p w14:paraId="78F8E511"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Gas engine</w:t>
            </w:r>
          </w:p>
        </w:tc>
        <w:tc>
          <w:tcPr>
            <w:tcW w:w="1587" w:type="dxa"/>
            <w:vAlign w:val="center"/>
          </w:tcPr>
          <w:p w14:paraId="7F78C85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770,000</w:t>
            </w:r>
          </w:p>
        </w:tc>
        <w:tc>
          <w:tcPr>
            <w:tcW w:w="1587" w:type="dxa"/>
            <w:vAlign w:val="center"/>
          </w:tcPr>
          <w:p w14:paraId="57A9B11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23,200</w:t>
            </w:r>
          </w:p>
        </w:tc>
        <w:tc>
          <w:tcPr>
            <w:tcW w:w="1587" w:type="dxa"/>
            <w:vAlign w:val="center"/>
          </w:tcPr>
          <w:p w14:paraId="23FC1F0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162905C6" w14:textId="77777777">
        <w:trPr>
          <w:trHeight w:val="340"/>
        </w:trPr>
        <w:tc>
          <w:tcPr>
            <w:tcW w:w="4398" w:type="dxa"/>
            <w:vAlign w:val="center"/>
          </w:tcPr>
          <w:p w14:paraId="74067FDA"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Combined cycle gas turbine</w:t>
            </w:r>
          </w:p>
        </w:tc>
        <w:tc>
          <w:tcPr>
            <w:tcW w:w="1587" w:type="dxa"/>
            <w:vAlign w:val="center"/>
          </w:tcPr>
          <w:p w14:paraId="3863D3B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750,000</w:t>
            </w:r>
          </w:p>
        </w:tc>
        <w:tc>
          <w:tcPr>
            <w:tcW w:w="1587" w:type="dxa"/>
            <w:vAlign w:val="center"/>
          </w:tcPr>
          <w:p w14:paraId="68BE07B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23,200</w:t>
            </w:r>
          </w:p>
        </w:tc>
        <w:tc>
          <w:tcPr>
            <w:tcW w:w="1587" w:type="dxa"/>
            <w:vAlign w:val="center"/>
          </w:tcPr>
          <w:p w14:paraId="5D3A06F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0.1</w:t>
            </w:r>
          </w:p>
        </w:tc>
      </w:tr>
      <w:tr w:rsidR="00A031A6" w14:paraId="0E4EB825" w14:textId="77777777">
        <w:trPr>
          <w:trHeight w:val="340"/>
        </w:trPr>
        <w:tc>
          <w:tcPr>
            <w:tcW w:w="4398" w:type="dxa"/>
            <w:vAlign w:val="center"/>
          </w:tcPr>
          <w:p w14:paraId="3ECF359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Heavy fuel oil PP</w:t>
            </w:r>
          </w:p>
        </w:tc>
        <w:tc>
          <w:tcPr>
            <w:tcW w:w="1587" w:type="dxa"/>
            <w:vAlign w:val="center"/>
          </w:tcPr>
          <w:p w14:paraId="2E472E8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800,000</w:t>
            </w:r>
          </w:p>
        </w:tc>
        <w:tc>
          <w:tcPr>
            <w:tcW w:w="1587" w:type="dxa"/>
            <w:vAlign w:val="center"/>
          </w:tcPr>
          <w:p w14:paraId="7BD0E0F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w:t>
            </w:r>
          </w:p>
        </w:tc>
        <w:tc>
          <w:tcPr>
            <w:tcW w:w="1587" w:type="dxa"/>
            <w:vAlign w:val="center"/>
          </w:tcPr>
          <w:p w14:paraId="17540BA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6.4</w:t>
            </w:r>
          </w:p>
        </w:tc>
      </w:tr>
      <w:tr w:rsidR="00A031A6" w14:paraId="4969810F" w14:textId="77777777">
        <w:trPr>
          <w:trHeight w:val="340"/>
        </w:trPr>
        <w:tc>
          <w:tcPr>
            <w:tcW w:w="4398" w:type="dxa"/>
            <w:vAlign w:val="center"/>
          </w:tcPr>
          <w:p w14:paraId="7CFB0DB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Diesel fuel PP</w:t>
            </w:r>
          </w:p>
        </w:tc>
        <w:tc>
          <w:tcPr>
            <w:tcW w:w="1587" w:type="dxa"/>
            <w:vAlign w:val="center"/>
          </w:tcPr>
          <w:p w14:paraId="464976F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800,000</w:t>
            </w:r>
          </w:p>
        </w:tc>
        <w:tc>
          <w:tcPr>
            <w:tcW w:w="1587" w:type="dxa"/>
            <w:vAlign w:val="center"/>
          </w:tcPr>
          <w:p w14:paraId="0B6529E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8,000</w:t>
            </w:r>
          </w:p>
        </w:tc>
        <w:tc>
          <w:tcPr>
            <w:tcW w:w="1587" w:type="dxa"/>
            <w:vAlign w:val="center"/>
          </w:tcPr>
          <w:p w14:paraId="43059D1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6.4</w:t>
            </w:r>
          </w:p>
        </w:tc>
      </w:tr>
      <w:tr w:rsidR="00A031A6" w14:paraId="486AC5A1" w14:textId="77777777">
        <w:trPr>
          <w:trHeight w:val="340"/>
        </w:trPr>
        <w:tc>
          <w:tcPr>
            <w:tcW w:w="4398" w:type="dxa"/>
            <w:vAlign w:val="center"/>
          </w:tcPr>
          <w:p w14:paraId="6F88EB45"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Concentrated solar power (CSP) w/ TES</w:t>
            </w:r>
          </w:p>
        </w:tc>
        <w:tc>
          <w:tcPr>
            <w:tcW w:w="1587" w:type="dxa"/>
            <w:vAlign w:val="center"/>
          </w:tcPr>
          <w:p w14:paraId="72B6B99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5,204,000</w:t>
            </w:r>
          </w:p>
        </w:tc>
        <w:tc>
          <w:tcPr>
            <w:tcW w:w="1587" w:type="dxa"/>
            <w:vAlign w:val="center"/>
          </w:tcPr>
          <w:p w14:paraId="66F9C11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15,000</w:t>
            </w:r>
          </w:p>
        </w:tc>
        <w:tc>
          <w:tcPr>
            <w:tcW w:w="1587" w:type="dxa"/>
            <w:vAlign w:val="center"/>
          </w:tcPr>
          <w:p w14:paraId="1672AD3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14:paraId="6BD68A26" w14:textId="77777777">
        <w:trPr>
          <w:trHeight w:val="340"/>
        </w:trPr>
        <w:tc>
          <w:tcPr>
            <w:tcW w:w="4398" w:type="dxa"/>
            <w:vAlign w:val="center"/>
          </w:tcPr>
          <w:p w14:paraId="432C9E5C"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Solar photovoltaic PP w/ battery storage</w:t>
            </w:r>
          </w:p>
        </w:tc>
        <w:tc>
          <w:tcPr>
            <w:tcW w:w="1587" w:type="dxa"/>
            <w:vAlign w:val="center"/>
          </w:tcPr>
          <w:p w14:paraId="21C4065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1,755,000</w:t>
            </w:r>
          </w:p>
        </w:tc>
        <w:tc>
          <w:tcPr>
            <w:tcW w:w="1587" w:type="dxa"/>
            <w:vAlign w:val="center"/>
          </w:tcPr>
          <w:p w14:paraId="7834060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31,270</w:t>
            </w:r>
          </w:p>
        </w:tc>
        <w:tc>
          <w:tcPr>
            <w:tcW w:w="1587" w:type="dxa"/>
            <w:vAlign w:val="center"/>
          </w:tcPr>
          <w:p w14:paraId="7ED927B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0.0</w:t>
            </w:r>
          </w:p>
        </w:tc>
      </w:tr>
      <w:tr w:rsidR="00A031A6" w14:paraId="4C02CAD4" w14:textId="77777777">
        <w:trPr>
          <w:trHeight w:val="340"/>
        </w:trPr>
        <w:tc>
          <w:tcPr>
            <w:tcW w:w="4398" w:type="dxa"/>
            <w:vAlign w:val="center"/>
          </w:tcPr>
          <w:p w14:paraId="207EC3D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Nuclear PP</w:t>
            </w:r>
          </w:p>
        </w:tc>
        <w:tc>
          <w:tcPr>
            <w:tcW w:w="1587" w:type="dxa"/>
            <w:vAlign w:val="center"/>
          </w:tcPr>
          <w:p w14:paraId="3A2B3E6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5,000,000</w:t>
            </w:r>
          </w:p>
        </w:tc>
        <w:tc>
          <w:tcPr>
            <w:tcW w:w="1587" w:type="dxa"/>
            <w:vAlign w:val="center"/>
          </w:tcPr>
          <w:p w14:paraId="280603E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50,000</w:t>
            </w:r>
          </w:p>
        </w:tc>
        <w:tc>
          <w:tcPr>
            <w:tcW w:w="1587" w:type="dxa"/>
            <w:vAlign w:val="center"/>
          </w:tcPr>
          <w:p w14:paraId="09D1ADB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0.5</w:t>
            </w:r>
          </w:p>
        </w:tc>
      </w:tr>
    </w:tbl>
    <w:p w14:paraId="222C1670" w14:textId="77777777" w:rsidR="00A031A6" w:rsidRDefault="00916FD0">
      <w:pPr>
        <w:tabs>
          <w:tab w:val="left" w:pos="1580"/>
        </w:tabs>
        <w:spacing w:before="60"/>
        <w:rPr>
          <w:rFonts w:ascii="Arial" w:eastAsia="Arial" w:hAnsi="Arial" w:cs="Arial"/>
          <w:i/>
          <w:sz w:val="18"/>
          <w:szCs w:val="18"/>
        </w:rPr>
      </w:pPr>
      <w:r>
        <w:rPr>
          <w:rFonts w:ascii="Arial" w:eastAsia="Arial" w:hAnsi="Arial" w:cs="Arial"/>
          <w:i/>
          <w:sz w:val="18"/>
          <w:szCs w:val="18"/>
        </w:rPr>
        <w:lastRenderedPageBreak/>
        <w:t>*Catalogue for Generation and Storage of Electricity - December 2017.</w:t>
      </w:r>
    </w:p>
    <w:p w14:paraId="10657DFD" w14:textId="77777777" w:rsidR="00A031A6" w:rsidRDefault="00A031A6">
      <w:pPr>
        <w:tabs>
          <w:tab w:val="left" w:pos="1580"/>
        </w:tabs>
        <w:spacing w:before="60"/>
      </w:pPr>
    </w:p>
    <w:p w14:paraId="209F0856" w14:textId="77777777" w:rsidR="00A031A6" w:rsidRDefault="00916FD0">
      <w:pPr>
        <w:pStyle w:val="Heading2"/>
        <w:numPr>
          <w:ilvl w:val="0"/>
          <w:numId w:val="13"/>
        </w:numPr>
      </w:pPr>
      <w:bookmarkStart w:id="169" w:name="_Toc62221469"/>
      <w:r>
        <w:t>Power generation, by scenario</w:t>
      </w:r>
      <w:bookmarkEnd w:id="169"/>
    </w:p>
    <w:p w14:paraId="100F924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electric power generation technology mix for different scenarios between 2018 and 2030 (LEAP modelling results).</w:t>
      </w:r>
    </w:p>
    <w:p w14:paraId="406B68C3" w14:textId="77777777" w:rsidR="00A031A6" w:rsidRDefault="00916FD0">
      <w:pPr>
        <w:pBdr>
          <w:top w:val="nil"/>
          <w:left w:val="nil"/>
          <w:bottom w:val="nil"/>
          <w:right w:val="nil"/>
          <w:between w:val="nil"/>
        </w:pBdr>
        <w:spacing w:after="200" w:line="240" w:lineRule="auto"/>
        <w:rPr>
          <w:rFonts w:ascii="Arial" w:eastAsia="Arial" w:hAnsi="Arial" w:cs="Arial"/>
          <w:b/>
          <w:color w:val="000000"/>
          <w:sz w:val="20"/>
          <w:szCs w:val="20"/>
        </w:rPr>
      </w:pPr>
      <w:bookmarkStart w:id="170" w:name="_qbtyoq" w:colFirst="0" w:colLast="0"/>
      <w:bookmarkEnd w:id="170"/>
      <w:r>
        <w:rPr>
          <w:rFonts w:ascii="Arial" w:eastAsia="Arial" w:hAnsi="Arial" w:cs="Arial"/>
          <w:b/>
          <w:color w:val="000000"/>
          <w:sz w:val="20"/>
          <w:szCs w:val="20"/>
        </w:rPr>
        <w:t>Figure 24 Power generation technology mix for different scenarios</w:t>
      </w:r>
    </w:p>
    <w:tbl>
      <w:tblPr>
        <w:tblStyle w:val="af8"/>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4383"/>
        <w:gridCol w:w="250"/>
        <w:gridCol w:w="4383"/>
      </w:tblGrid>
      <w:tr w:rsidR="00A031A6" w14:paraId="46187BCD" w14:textId="77777777">
        <w:tc>
          <w:tcPr>
            <w:tcW w:w="4397" w:type="dxa"/>
          </w:tcPr>
          <w:p w14:paraId="739ED8CE" w14:textId="77777777" w:rsidR="00A031A6" w:rsidRDefault="00916FD0">
            <w:r>
              <w:rPr>
                <w:noProof/>
              </w:rPr>
              <w:drawing>
                <wp:inline distT="0" distB="0" distL="0" distR="0" wp14:anchorId="20F5C928" wp14:editId="1032C373">
                  <wp:extent cx="2880000" cy="172717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2880000" cy="1727170"/>
                          </a:xfrm>
                          <a:prstGeom prst="rect">
                            <a:avLst/>
                          </a:prstGeom>
                          <a:ln/>
                        </pic:spPr>
                      </pic:pic>
                    </a:graphicData>
                  </a:graphic>
                </wp:inline>
              </w:drawing>
            </w:r>
          </w:p>
        </w:tc>
        <w:tc>
          <w:tcPr>
            <w:tcW w:w="222" w:type="dxa"/>
          </w:tcPr>
          <w:p w14:paraId="2FF03A1E" w14:textId="77777777" w:rsidR="00A031A6" w:rsidRDefault="00A031A6"/>
        </w:tc>
        <w:tc>
          <w:tcPr>
            <w:tcW w:w="4397" w:type="dxa"/>
          </w:tcPr>
          <w:p w14:paraId="2DF25E4D" w14:textId="77777777" w:rsidR="00A031A6" w:rsidRDefault="00916FD0">
            <w:r>
              <w:rPr>
                <w:noProof/>
              </w:rPr>
              <w:drawing>
                <wp:inline distT="0" distB="0" distL="0" distR="0" wp14:anchorId="0680C3EF" wp14:editId="14E9614C">
                  <wp:extent cx="2880000" cy="172717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2880000" cy="1727170"/>
                          </a:xfrm>
                          <a:prstGeom prst="rect">
                            <a:avLst/>
                          </a:prstGeom>
                          <a:ln/>
                        </pic:spPr>
                      </pic:pic>
                    </a:graphicData>
                  </a:graphic>
                </wp:inline>
              </w:drawing>
            </w:r>
          </w:p>
        </w:tc>
      </w:tr>
      <w:tr w:rsidR="00A031A6" w14:paraId="04522F83" w14:textId="77777777">
        <w:tc>
          <w:tcPr>
            <w:tcW w:w="4397" w:type="dxa"/>
          </w:tcPr>
          <w:p w14:paraId="34523A6B" w14:textId="77777777" w:rsidR="00A031A6" w:rsidRDefault="00916FD0">
            <w:r>
              <w:rPr>
                <w:noProof/>
              </w:rPr>
              <w:drawing>
                <wp:inline distT="0" distB="0" distL="0" distR="0" wp14:anchorId="5846604C" wp14:editId="1EE92C96">
                  <wp:extent cx="2880000" cy="172717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2880000" cy="1727170"/>
                          </a:xfrm>
                          <a:prstGeom prst="rect">
                            <a:avLst/>
                          </a:prstGeom>
                          <a:ln/>
                        </pic:spPr>
                      </pic:pic>
                    </a:graphicData>
                  </a:graphic>
                </wp:inline>
              </w:drawing>
            </w:r>
          </w:p>
        </w:tc>
        <w:tc>
          <w:tcPr>
            <w:tcW w:w="222" w:type="dxa"/>
          </w:tcPr>
          <w:p w14:paraId="5197F7A2" w14:textId="77777777" w:rsidR="00A031A6" w:rsidRDefault="00A031A6"/>
        </w:tc>
        <w:tc>
          <w:tcPr>
            <w:tcW w:w="4397" w:type="dxa"/>
          </w:tcPr>
          <w:p w14:paraId="4E03D6BF" w14:textId="77777777" w:rsidR="00A031A6" w:rsidRDefault="00916FD0">
            <w:r>
              <w:rPr>
                <w:noProof/>
              </w:rPr>
              <w:drawing>
                <wp:inline distT="0" distB="0" distL="0" distR="0" wp14:anchorId="72603C53" wp14:editId="70F72114">
                  <wp:extent cx="2880000" cy="172717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2880000" cy="1727170"/>
                          </a:xfrm>
                          <a:prstGeom prst="rect">
                            <a:avLst/>
                          </a:prstGeom>
                          <a:ln/>
                        </pic:spPr>
                      </pic:pic>
                    </a:graphicData>
                  </a:graphic>
                </wp:inline>
              </w:drawing>
            </w:r>
          </w:p>
        </w:tc>
      </w:tr>
      <w:tr w:rsidR="00A031A6" w14:paraId="0535140C" w14:textId="77777777">
        <w:tc>
          <w:tcPr>
            <w:tcW w:w="4397" w:type="dxa"/>
          </w:tcPr>
          <w:p w14:paraId="5FF56B10" w14:textId="77777777" w:rsidR="00A031A6" w:rsidRDefault="00916FD0">
            <w:r>
              <w:rPr>
                <w:noProof/>
              </w:rPr>
              <w:drawing>
                <wp:inline distT="0" distB="0" distL="0" distR="0" wp14:anchorId="53BCEFE1" wp14:editId="124B6F12">
                  <wp:extent cx="2880000" cy="172717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a:srcRect/>
                          <a:stretch>
                            <a:fillRect/>
                          </a:stretch>
                        </pic:blipFill>
                        <pic:spPr>
                          <a:xfrm>
                            <a:off x="0" y="0"/>
                            <a:ext cx="2880000" cy="1727170"/>
                          </a:xfrm>
                          <a:prstGeom prst="rect">
                            <a:avLst/>
                          </a:prstGeom>
                          <a:ln/>
                        </pic:spPr>
                      </pic:pic>
                    </a:graphicData>
                  </a:graphic>
                </wp:inline>
              </w:drawing>
            </w:r>
          </w:p>
        </w:tc>
        <w:tc>
          <w:tcPr>
            <w:tcW w:w="222" w:type="dxa"/>
          </w:tcPr>
          <w:p w14:paraId="651920AC" w14:textId="77777777" w:rsidR="00A031A6" w:rsidRDefault="00A031A6"/>
        </w:tc>
        <w:tc>
          <w:tcPr>
            <w:tcW w:w="4397" w:type="dxa"/>
          </w:tcPr>
          <w:p w14:paraId="10075ADA" w14:textId="77777777" w:rsidR="00A031A6" w:rsidRDefault="00916FD0">
            <w:r>
              <w:rPr>
                <w:noProof/>
              </w:rPr>
              <w:drawing>
                <wp:inline distT="0" distB="0" distL="0" distR="0" wp14:anchorId="72F0C154" wp14:editId="1935B1C6">
                  <wp:extent cx="2880000" cy="172717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3"/>
                          <a:srcRect/>
                          <a:stretch>
                            <a:fillRect/>
                          </a:stretch>
                        </pic:blipFill>
                        <pic:spPr>
                          <a:xfrm>
                            <a:off x="0" y="0"/>
                            <a:ext cx="2880000" cy="1727170"/>
                          </a:xfrm>
                          <a:prstGeom prst="rect">
                            <a:avLst/>
                          </a:prstGeom>
                          <a:ln/>
                        </pic:spPr>
                      </pic:pic>
                    </a:graphicData>
                  </a:graphic>
                </wp:inline>
              </w:drawing>
            </w:r>
          </w:p>
        </w:tc>
      </w:tr>
      <w:tr w:rsidR="00A031A6" w14:paraId="7021FAB9" w14:textId="77777777">
        <w:tc>
          <w:tcPr>
            <w:tcW w:w="4397" w:type="dxa"/>
          </w:tcPr>
          <w:p w14:paraId="604EC256" w14:textId="77777777" w:rsidR="00A031A6" w:rsidRDefault="00916FD0">
            <w:r>
              <w:rPr>
                <w:noProof/>
              </w:rPr>
              <w:drawing>
                <wp:inline distT="0" distB="0" distL="0" distR="0" wp14:anchorId="3BF1AEF4" wp14:editId="41D19F0E">
                  <wp:extent cx="2880000" cy="172717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a:stretch>
                            <a:fillRect/>
                          </a:stretch>
                        </pic:blipFill>
                        <pic:spPr>
                          <a:xfrm>
                            <a:off x="0" y="0"/>
                            <a:ext cx="2880000" cy="1727170"/>
                          </a:xfrm>
                          <a:prstGeom prst="rect">
                            <a:avLst/>
                          </a:prstGeom>
                          <a:ln/>
                        </pic:spPr>
                      </pic:pic>
                    </a:graphicData>
                  </a:graphic>
                </wp:inline>
              </w:drawing>
            </w:r>
          </w:p>
        </w:tc>
        <w:tc>
          <w:tcPr>
            <w:tcW w:w="222" w:type="dxa"/>
          </w:tcPr>
          <w:p w14:paraId="48823D00" w14:textId="77777777" w:rsidR="00A031A6" w:rsidRDefault="00A031A6"/>
        </w:tc>
        <w:tc>
          <w:tcPr>
            <w:tcW w:w="4397" w:type="dxa"/>
          </w:tcPr>
          <w:p w14:paraId="476B0815" w14:textId="77777777" w:rsidR="00A031A6" w:rsidRDefault="00916FD0">
            <w:r>
              <w:rPr>
                <w:noProof/>
              </w:rPr>
              <w:drawing>
                <wp:inline distT="0" distB="0" distL="0" distR="0" wp14:anchorId="21CFC2D1" wp14:editId="3A718087">
                  <wp:extent cx="2880000" cy="172717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2880000" cy="1727170"/>
                          </a:xfrm>
                          <a:prstGeom prst="rect">
                            <a:avLst/>
                          </a:prstGeom>
                          <a:ln/>
                        </pic:spPr>
                      </pic:pic>
                    </a:graphicData>
                  </a:graphic>
                </wp:inline>
              </w:drawing>
            </w:r>
          </w:p>
        </w:tc>
      </w:tr>
      <w:tr w:rsidR="00A031A6" w14:paraId="50E22F63" w14:textId="77777777">
        <w:tc>
          <w:tcPr>
            <w:tcW w:w="4397" w:type="dxa"/>
          </w:tcPr>
          <w:p w14:paraId="629C7707" w14:textId="77777777" w:rsidR="00A031A6" w:rsidRDefault="00916FD0">
            <w:r>
              <w:rPr>
                <w:noProof/>
              </w:rPr>
              <w:lastRenderedPageBreak/>
              <w:drawing>
                <wp:inline distT="0" distB="0" distL="0" distR="0" wp14:anchorId="2F5C8227" wp14:editId="0AF9D41C">
                  <wp:extent cx="2880000" cy="172717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2880000" cy="1727170"/>
                          </a:xfrm>
                          <a:prstGeom prst="rect">
                            <a:avLst/>
                          </a:prstGeom>
                          <a:ln/>
                        </pic:spPr>
                      </pic:pic>
                    </a:graphicData>
                  </a:graphic>
                </wp:inline>
              </w:drawing>
            </w:r>
          </w:p>
        </w:tc>
        <w:tc>
          <w:tcPr>
            <w:tcW w:w="222" w:type="dxa"/>
          </w:tcPr>
          <w:p w14:paraId="278F3012" w14:textId="77777777" w:rsidR="00A031A6" w:rsidRDefault="00A031A6"/>
        </w:tc>
        <w:tc>
          <w:tcPr>
            <w:tcW w:w="4397" w:type="dxa"/>
          </w:tcPr>
          <w:p w14:paraId="3B33E4ED" w14:textId="77777777" w:rsidR="00A031A6" w:rsidRDefault="00916FD0">
            <w:r>
              <w:rPr>
                <w:noProof/>
              </w:rPr>
              <w:drawing>
                <wp:inline distT="0" distB="0" distL="0" distR="0" wp14:anchorId="2D4AE3A8" wp14:editId="2D0C6153">
                  <wp:extent cx="2880000" cy="172717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7"/>
                          <a:srcRect/>
                          <a:stretch>
                            <a:fillRect/>
                          </a:stretch>
                        </pic:blipFill>
                        <pic:spPr>
                          <a:xfrm>
                            <a:off x="0" y="0"/>
                            <a:ext cx="2880000" cy="1727170"/>
                          </a:xfrm>
                          <a:prstGeom prst="rect">
                            <a:avLst/>
                          </a:prstGeom>
                          <a:ln/>
                        </pic:spPr>
                      </pic:pic>
                    </a:graphicData>
                  </a:graphic>
                </wp:inline>
              </w:drawing>
            </w:r>
          </w:p>
        </w:tc>
      </w:tr>
      <w:tr w:rsidR="00A031A6" w14:paraId="7FBA0916" w14:textId="77777777">
        <w:tc>
          <w:tcPr>
            <w:tcW w:w="4397" w:type="dxa"/>
          </w:tcPr>
          <w:p w14:paraId="1040DA42" w14:textId="77777777" w:rsidR="00A031A6" w:rsidRDefault="00916FD0">
            <w:r>
              <w:rPr>
                <w:noProof/>
              </w:rPr>
              <w:drawing>
                <wp:inline distT="0" distB="0" distL="0" distR="0" wp14:anchorId="4EFE76F5" wp14:editId="13266BA0">
                  <wp:extent cx="2880000" cy="172717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a:srcRect/>
                          <a:stretch>
                            <a:fillRect/>
                          </a:stretch>
                        </pic:blipFill>
                        <pic:spPr>
                          <a:xfrm>
                            <a:off x="0" y="0"/>
                            <a:ext cx="2880000" cy="1727170"/>
                          </a:xfrm>
                          <a:prstGeom prst="rect">
                            <a:avLst/>
                          </a:prstGeom>
                          <a:ln/>
                        </pic:spPr>
                      </pic:pic>
                    </a:graphicData>
                  </a:graphic>
                </wp:inline>
              </w:drawing>
            </w:r>
          </w:p>
        </w:tc>
        <w:tc>
          <w:tcPr>
            <w:tcW w:w="222" w:type="dxa"/>
          </w:tcPr>
          <w:p w14:paraId="2301E208" w14:textId="77777777" w:rsidR="00A031A6" w:rsidRDefault="00A031A6"/>
        </w:tc>
        <w:tc>
          <w:tcPr>
            <w:tcW w:w="4397" w:type="dxa"/>
          </w:tcPr>
          <w:p w14:paraId="1A490E65" w14:textId="77777777" w:rsidR="00A031A6" w:rsidRDefault="00916FD0">
            <w:r>
              <w:rPr>
                <w:noProof/>
              </w:rPr>
              <w:drawing>
                <wp:inline distT="0" distB="0" distL="0" distR="0" wp14:anchorId="43FB8BB4" wp14:editId="242B432C">
                  <wp:extent cx="2880000" cy="172717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a:stretch>
                            <a:fillRect/>
                          </a:stretch>
                        </pic:blipFill>
                        <pic:spPr>
                          <a:xfrm>
                            <a:off x="0" y="0"/>
                            <a:ext cx="2880000" cy="1727170"/>
                          </a:xfrm>
                          <a:prstGeom prst="rect">
                            <a:avLst/>
                          </a:prstGeom>
                          <a:ln/>
                        </pic:spPr>
                      </pic:pic>
                    </a:graphicData>
                  </a:graphic>
                </wp:inline>
              </w:drawing>
            </w:r>
          </w:p>
        </w:tc>
      </w:tr>
    </w:tbl>
    <w:p w14:paraId="1EFB8D60" w14:textId="77777777" w:rsidR="00A031A6" w:rsidRDefault="00916FD0">
      <w:pPr>
        <w:rPr>
          <w:rFonts w:ascii="Arial" w:eastAsia="Arial" w:hAnsi="Arial" w:cs="Arial"/>
          <w:b/>
          <w:color w:val="000000"/>
          <w:sz w:val="24"/>
          <w:szCs w:val="24"/>
        </w:rPr>
      </w:pPr>
      <w:r>
        <w:br w:type="page"/>
      </w:r>
    </w:p>
    <w:p w14:paraId="336B636F" w14:textId="77777777" w:rsidR="00A031A6" w:rsidRDefault="00916FD0">
      <w:pPr>
        <w:pStyle w:val="Heading2"/>
        <w:numPr>
          <w:ilvl w:val="0"/>
          <w:numId w:val="13"/>
        </w:numPr>
      </w:pPr>
      <w:bookmarkStart w:id="171" w:name="_Toc62221470"/>
      <w:r>
        <w:lastRenderedPageBreak/>
        <w:t>Summary of scenarios</w:t>
      </w:r>
      <w:bookmarkEnd w:id="171"/>
    </w:p>
    <w:p w14:paraId="39D25EB5" w14:textId="77777777" w:rsidR="00A031A6" w:rsidRDefault="00916FD0">
      <w:pPr>
        <w:spacing w:line="360" w:lineRule="auto"/>
        <w:jc w:val="both"/>
        <w:rPr>
          <w:rFonts w:ascii="Arial" w:eastAsia="Arial" w:hAnsi="Arial" w:cs="Arial"/>
          <w:sz w:val="20"/>
          <w:szCs w:val="20"/>
        </w:rPr>
      </w:pPr>
      <w:bookmarkStart w:id="172" w:name="_1pgrrkc" w:colFirst="0" w:colLast="0"/>
      <w:bookmarkEnd w:id="172"/>
      <w:r>
        <w:rPr>
          <w:rFonts w:ascii="Arial" w:eastAsia="Arial" w:hAnsi="Arial" w:cs="Arial"/>
          <w:sz w:val="20"/>
          <w:szCs w:val="20"/>
        </w:rPr>
        <w:t xml:space="preserve">This annex presents a summary of key messages of all the scenarios that have been developed (a matrix of scenarios is presented in table 22) and analysed using NEXSTEP to provide further information on the overall analysis and the roadmap. </w:t>
      </w:r>
    </w:p>
    <w:p w14:paraId="5688273C" w14:textId="77777777" w:rsidR="00A031A6" w:rsidRDefault="00916FD0">
      <w:pPr>
        <w:pStyle w:val="Heading3"/>
        <w:ind w:firstLine="716"/>
      </w:pPr>
      <w:bookmarkStart w:id="173" w:name="_Toc62221471"/>
      <w:r>
        <w:t>BAU</w:t>
      </w:r>
      <w:bookmarkEnd w:id="173"/>
    </w:p>
    <w:p w14:paraId="40560EB3" w14:textId="3F3D475C" w:rsidR="006B6A5E" w:rsidRPr="00672401" w:rsidRDefault="00672401" w:rsidP="00C92A87">
      <w:pPr>
        <w:pStyle w:val="Heading4"/>
        <w:rPr>
          <w:rFonts w:ascii="Times New Roman" w:hAnsi="Times New Roman" w:cs="Times New Roman"/>
        </w:rPr>
      </w:pPr>
      <w:bookmarkStart w:id="174" w:name="_Toc62221472"/>
      <w:r>
        <w:t>Scenario description</w:t>
      </w:r>
      <w:bookmarkEnd w:id="174"/>
    </w:p>
    <w:p w14:paraId="407EC411" w14:textId="77777777" w:rsidR="006B6A5E" w:rsidRPr="006B6A5E" w:rsidRDefault="006B6A5E" w:rsidP="006B6A5E">
      <w:pPr>
        <w:spacing w:after="0" w:line="240" w:lineRule="auto"/>
        <w:rPr>
          <w:rFonts w:ascii="Times New Roman" w:eastAsia="Times New Roman" w:hAnsi="Times New Roman" w:cs="Times New Roman"/>
          <w:sz w:val="24"/>
          <w:szCs w:val="24"/>
        </w:rPr>
      </w:pPr>
    </w:p>
    <w:p w14:paraId="5A348E4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BAU scenario analyses the energy system in Indonesia if no action or policies were implemented related to Sustainable Development Goal 7 targets and Nationally Determined Contribution (NDC) by 2030. </w:t>
      </w:r>
    </w:p>
    <w:p w14:paraId="2D42116E" w14:textId="77777777" w:rsidR="00A031A6" w:rsidRDefault="00916FD0">
      <w:pPr>
        <w:pStyle w:val="Heading5"/>
        <w:spacing w:line="360" w:lineRule="auto"/>
        <w:jc w:val="both"/>
      </w:pPr>
      <w:bookmarkStart w:id="175" w:name="_Toc62221473"/>
      <w:r>
        <w:t>SDG 7.1.1 Universal access to electricity</w:t>
      </w:r>
      <w:bookmarkEnd w:id="175"/>
    </w:p>
    <w:p w14:paraId="5AA37D2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BAU scenario, universal access to electricity is achieved by 2020 based on the rural electrification plan of PLN. Indonesia is on-track to achieve "near 100%" electricity access by 2020.</w:t>
      </w:r>
    </w:p>
    <w:p w14:paraId="4D062DD8" w14:textId="77777777" w:rsidR="00A031A6" w:rsidRDefault="00916FD0">
      <w:pPr>
        <w:pStyle w:val="Heading5"/>
        <w:spacing w:line="360" w:lineRule="auto"/>
        <w:jc w:val="both"/>
      </w:pPr>
      <w:bookmarkStart w:id="176" w:name="_Toc62221474"/>
      <w:r>
        <w:t>SDG 7.1.2. Universal access to clean cooking</w:t>
      </w:r>
      <w:bookmarkEnd w:id="176"/>
    </w:p>
    <w:p w14:paraId="01199309"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population with access to clean cooking fuels and technologies in the BAU scenario will be 100% in 2021. Access to clean cooking in Indonesia current annual rate of improvement of 8.7 percent, is well above the global average of less than 1 per cent improvement in the time period 2010 to 2018.</w:t>
      </w:r>
    </w:p>
    <w:p w14:paraId="4D2A7265" w14:textId="77777777" w:rsidR="00A031A6" w:rsidRDefault="00916FD0">
      <w:pPr>
        <w:pStyle w:val="Heading5"/>
        <w:spacing w:line="360" w:lineRule="auto"/>
        <w:jc w:val="both"/>
      </w:pPr>
      <w:bookmarkStart w:id="177" w:name="_Toc62221475"/>
      <w:r>
        <w:t>SDG 7.2. Renewable energy</w:t>
      </w:r>
      <w:bookmarkEnd w:id="177"/>
    </w:p>
    <w:p w14:paraId="70737A6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renewable energy share of TFEC in Indonesia is projected to decrease from 11.25% in 2018 to 10.75% by 2030. The decrease is due to the replacement of traditional biomass cookstoves by LPG cookstoves and increase in coal-fired electric generation.</w:t>
      </w:r>
    </w:p>
    <w:p w14:paraId="192B0A46" w14:textId="77777777" w:rsidR="00A031A6" w:rsidRDefault="00916FD0">
      <w:pPr>
        <w:pStyle w:val="Heading5"/>
        <w:spacing w:line="360" w:lineRule="auto"/>
        <w:jc w:val="both"/>
      </w:pPr>
      <w:bookmarkStart w:id="178" w:name="_Toc62221476"/>
      <w:r>
        <w:t>SDG 7.3. Energy efficiency</w:t>
      </w:r>
      <w:bookmarkEnd w:id="178"/>
    </w:p>
    <w:p w14:paraId="2335DEE5"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energy intensity improvements at the end-use level is modelled as constant from 2018-2030.</w:t>
      </w:r>
      <w:r>
        <w:t xml:space="preserve"> </w:t>
      </w:r>
      <w:r>
        <w:rPr>
          <w:rFonts w:ascii="Arial" w:eastAsia="Arial" w:hAnsi="Arial" w:cs="Arial"/>
          <w:sz w:val="20"/>
          <w:szCs w:val="20"/>
        </w:rPr>
        <w:t>The primary energy intensity proxy for the measurement of energy efficiency improvement is estimated to be 2.4 MJ/US$ and falls short of the SDG rate of 2.39 MJ/US$ in 2030. In the component analysis of primary energy intensity trends, the improvement is mainly due to a higher GDP growth rate of 5.7% compared with total primary energy supply growth rate of 3.7%.</w:t>
      </w:r>
    </w:p>
    <w:p w14:paraId="64B4CB42" w14:textId="77777777" w:rsidR="00A031A6" w:rsidRDefault="00916FD0">
      <w:pPr>
        <w:pStyle w:val="Heading5"/>
        <w:spacing w:line="360" w:lineRule="auto"/>
        <w:jc w:val="both"/>
      </w:pPr>
      <w:bookmarkStart w:id="179" w:name="_Toc62221477"/>
      <w:r>
        <w:t>NDC unconditional target</w:t>
      </w:r>
      <w:bookmarkEnd w:id="179"/>
    </w:p>
    <w:p w14:paraId="1813B9B0" w14:textId="77777777" w:rsidR="00672401" w:rsidRDefault="00916FD0" w:rsidP="00672401">
      <w:pPr>
        <w:spacing w:line="360" w:lineRule="auto"/>
        <w:jc w:val="both"/>
        <w:rPr>
          <w:rFonts w:ascii="Arial" w:eastAsia="Arial" w:hAnsi="Arial" w:cs="Arial"/>
          <w:sz w:val="20"/>
          <w:szCs w:val="20"/>
        </w:rPr>
      </w:pPr>
      <w:r>
        <w:rPr>
          <w:rFonts w:ascii="Arial" w:eastAsia="Arial" w:hAnsi="Arial" w:cs="Arial"/>
          <w:sz w:val="20"/>
          <w:szCs w:val="20"/>
        </w:rPr>
        <w:t>Indonesia GHG emissions will reach 880 MtCO2-e by 2030 and will be used as a baseline to compare scenarios emission reduction</w:t>
      </w:r>
      <w:r w:rsidR="00672401">
        <w:rPr>
          <w:rFonts w:ascii="Arial" w:eastAsia="Arial" w:hAnsi="Arial" w:cs="Arial"/>
          <w:sz w:val="20"/>
          <w:szCs w:val="20"/>
        </w:rPr>
        <w:t>.</w:t>
      </w:r>
      <w:bookmarkStart w:id="180" w:name="_1h65qms" w:colFirst="0" w:colLast="0"/>
      <w:bookmarkEnd w:id="180"/>
      <w:r w:rsidR="00672401">
        <w:rPr>
          <w:rFonts w:ascii="Arial" w:eastAsia="Arial" w:hAnsi="Arial" w:cs="Arial"/>
          <w:sz w:val="20"/>
          <w:szCs w:val="20"/>
        </w:rPr>
        <w:t xml:space="preserve"> </w:t>
      </w:r>
    </w:p>
    <w:p w14:paraId="4DC42A43" w14:textId="02B94F8E" w:rsidR="00672401" w:rsidRPr="00672401" w:rsidRDefault="00916FD0" w:rsidP="00672401">
      <w:pPr>
        <w:pStyle w:val="Heading5"/>
      </w:pPr>
      <w:bookmarkStart w:id="181" w:name="_Toc62221478"/>
      <w:r>
        <w:lastRenderedPageBreak/>
        <w:t>Investment required: IDR 1,464 trillion (US$ 103 billion)</w:t>
      </w:r>
      <w:bookmarkEnd w:id="181"/>
    </w:p>
    <w:p w14:paraId="41BC9FCE" w14:textId="1A8F5BB5"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investment costs in the power sector are calculated based on the planned capacity expansion to meet future energy demand. The capital cost for technologies is included in the LEAP model using national technology data for Indonesia power sector.</w:t>
      </w:r>
    </w:p>
    <w:p w14:paraId="08BDFA36" w14:textId="6FB51F63" w:rsidR="00D43E3B" w:rsidRDefault="00D43E3B" w:rsidP="00D43E3B">
      <w:pPr>
        <w:pStyle w:val="Heading5"/>
      </w:pPr>
      <w:bookmarkStart w:id="182" w:name="_Toc62221479"/>
      <w:r>
        <w:t>Total net benefits from the power sector</w:t>
      </w:r>
      <w:bookmarkEnd w:id="182"/>
    </w:p>
    <w:p w14:paraId="1281FBCC" w14:textId="56F173CE" w:rsidR="00D43E3B" w:rsidRPr="00D43E3B" w:rsidRDefault="00D43E3B" w:rsidP="00D43E3B">
      <w:pPr>
        <w:spacing w:line="360" w:lineRule="auto"/>
        <w:rPr>
          <w:rFonts w:ascii="Arial" w:hAnsi="Arial" w:cs="Arial"/>
          <w:sz w:val="20"/>
          <w:szCs w:val="20"/>
        </w:rPr>
      </w:pPr>
      <w:r w:rsidRPr="006E2536">
        <w:rPr>
          <w:rFonts w:ascii="Arial" w:hAnsi="Arial" w:cs="Arial"/>
          <w:sz w:val="20"/>
          <w:szCs w:val="20"/>
        </w:rPr>
        <w:t xml:space="preserve">The total net benefits from the power sector will be </w:t>
      </w:r>
      <w:r>
        <w:rPr>
          <w:rFonts w:ascii="Arial" w:hAnsi="Arial" w:cs="Arial"/>
          <w:sz w:val="20"/>
          <w:szCs w:val="20"/>
        </w:rPr>
        <w:t>IDR 1,515 trillion (US$ 215</w:t>
      </w:r>
      <w:r w:rsidRPr="006E2536">
        <w:rPr>
          <w:rFonts w:ascii="Arial" w:hAnsi="Arial" w:cs="Arial"/>
          <w:sz w:val="20"/>
          <w:szCs w:val="20"/>
        </w:rPr>
        <w:t xml:space="preserve"> </w:t>
      </w:r>
      <w:r>
        <w:rPr>
          <w:rFonts w:ascii="Arial" w:hAnsi="Arial" w:cs="Arial"/>
          <w:sz w:val="20"/>
          <w:szCs w:val="20"/>
        </w:rPr>
        <w:t>billion).</w:t>
      </w:r>
    </w:p>
    <w:p w14:paraId="7C4B8ACF" w14:textId="77777777" w:rsidR="00A031A6" w:rsidRDefault="00916FD0">
      <w:pPr>
        <w:pStyle w:val="Heading5"/>
        <w:spacing w:line="360" w:lineRule="auto"/>
        <w:jc w:val="both"/>
      </w:pPr>
      <w:bookmarkStart w:id="183" w:name="_Toc62221480"/>
      <w:r>
        <w:t>Coal lock-in</w:t>
      </w:r>
      <w:bookmarkEnd w:id="183"/>
    </w:p>
    <w:p w14:paraId="7919136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BAU scenario assumes the electric power system expansion continues based on current energy mix in 2018. Due to the high level of coal-fired power it leads to a lock-in of coal technology. Based on a 30-year lifetime of coal power plants, Indonesia will see an eventual phase-out possible in 2060.</w:t>
      </w:r>
    </w:p>
    <w:p w14:paraId="5209EE9E" w14:textId="77777777" w:rsidR="00A031A6" w:rsidRDefault="00916FD0">
      <w:pPr>
        <w:pStyle w:val="Heading5"/>
        <w:spacing w:line="360" w:lineRule="auto"/>
        <w:jc w:val="both"/>
      </w:pPr>
      <w:bookmarkStart w:id="184" w:name="_Toc62221481"/>
      <w:r>
        <w:t>Fossil fuel subsidy</w:t>
      </w:r>
      <w:bookmarkEnd w:id="184"/>
    </w:p>
    <w:p w14:paraId="62141703" w14:textId="2AB4BA36" w:rsidR="00A031A6" w:rsidRDefault="00916FD0">
      <w:pPr>
        <w:spacing w:line="360" w:lineRule="auto"/>
        <w:jc w:val="both"/>
        <w:rPr>
          <w:rFonts w:ascii="Arial" w:eastAsia="Arial" w:hAnsi="Arial" w:cs="Arial"/>
          <w:sz w:val="20"/>
          <w:szCs w:val="20"/>
        </w:rPr>
      </w:pPr>
      <w:r>
        <w:rPr>
          <w:rFonts w:ascii="Arial" w:eastAsia="Arial" w:hAnsi="Arial" w:cs="Arial"/>
          <w:sz w:val="20"/>
          <w:szCs w:val="20"/>
        </w:rPr>
        <w:t>Government of Indonesia will spend IDR 1,008 trillion (US$ 71 billion) in the time period 2020-2030 based on annual fiscal cost of IDR 101 trillion (US$ 7.129 billion) (2017 estimate). Policy reform is required to abolish subsidies that encourage wasteful consumption</w:t>
      </w:r>
    </w:p>
    <w:p w14:paraId="48A0F236" w14:textId="77777777" w:rsidR="00D43E3B" w:rsidRDefault="00D43E3B" w:rsidP="00D43E3B">
      <w:pPr>
        <w:pStyle w:val="Heading5"/>
      </w:pPr>
      <w:bookmarkStart w:id="185" w:name="_Toc62221482"/>
      <w:r>
        <w:t>Energy balance</w:t>
      </w:r>
      <w:bookmarkEnd w:id="185"/>
    </w:p>
    <w:p w14:paraId="725882DB" w14:textId="77777777" w:rsidR="00D43E3B" w:rsidRDefault="00D43E3B">
      <w:pPr>
        <w:spacing w:line="360" w:lineRule="auto"/>
        <w:jc w:val="both"/>
        <w:rPr>
          <w:rFonts w:ascii="Arial" w:eastAsia="Arial" w:hAnsi="Arial" w:cs="Arial"/>
          <w:sz w:val="20"/>
          <w:szCs w:val="20"/>
        </w:rPr>
      </w:pPr>
    </w:p>
    <w:p w14:paraId="37C3B258" w14:textId="77777777" w:rsidR="00A031A6" w:rsidRDefault="00916FD0">
      <w:pPr>
        <w:pStyle w:val="Heading3"/>
        <w:ind w:firstLine="716"/>
      </w:pPr>
      <w:bookmarkStart w:id="186" w:name="_Toc62221483"/>
      <w:r>
        <w:t>Current policy scenario</w:t>
      </w:r>
      <w:bookmarkEnd w:id="186"/>
    </w:p>
    <w:p w14:paraId="699DB527" w14:textId="2D5C847D" w:rsidR="00C92A87" w:rsidRPr="00672401" w:rsidRDefault="00672401" w:rsidP="00C92A87">
      <w:pPr>
        <w:pStyle w:val="Heading4"/>
        <w:rPr>
          <w:rFonts w:ascii="Times New Roman" w:hAnsi="Times New Roman" w:cs="Times New Roman"/>
        </w:rPr>
      </w:pPr>
      <w:bookmarkStart w:id="187" w:name="_Toc62221484"/>
      <w:r>
        <w:t>Scenario description</w:t>
      </w:r>
      <w:bookmarkEnd w:id="187"/>
    </w:p>
    <w:p w14:paraId="623B9B8B" w14:textId="77777777" w:rsidR="006B6A5E" w:rsidRPr="006B6A5E" w:rsidRDefault="006B6A5E" w:rsidP="006B6A5E">
      <w:pPr>
        <w:spacing w:after="0" w:line="240" w:lineRule="auto"/>
        <w:rPr>
          <w:rFonts w:ascii="Times New Roman" w:eastAsia="Times New Roman" w:hAnsi="Times New Roman" w:cs="Times New Roman"/>
          <w:sz w:val="24"/>
          <w:szCs w:val="24"/>
        </w:rPr>
      </w:pPr>
    </w:p>
    <w:p w14:paraId="23CAFF6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CPS is based on the current national energy policies of Indonesia. </w:t>
      </w:r>
    </w:p>
    <w:p w14:paraId="3DB61A4B" w14:textId="77777777" w:rsidR="00A031A6" w:rsidRDefault="00916FD0">
      <w:pPr>
        <w:pStyle w:val="Heading5"/>
        <w:spacing w:line="360" w:lineRule="auto"/>
        <w:jc w:val="both"/>
      </w:pPr>
      <w:bookmarkStart w:id="188" w:name="_Toc62221485"/>
      <w:r>
        <w:t>SDG 7.1.1. Universal access to electricity</w:t>
      </w:r>
      <w:bookmarkEnd w:id="188"/>
    </w:p>
    <w:p w14:paraId="0E1B8857"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 the CPS scenario, universal access to electricity is achieved by 2020 based on the rural electrification plan of PLN. Indonesia is on-track to achieve "near 100%" electricity access by 2020.</w:t>
      </w:r>
    </w:p>
    <w:p w14:paraId="514A23F5" w14:textId="77777777" w:rsidR="00A031A6" w:rsidRDefault="00916FD0">
      <w:pPr>
        <w:pStyle w:val="Heading5"/>
        <w:spacing w:line="360" w:lineRule="auto"/>
        <w:jc w:val="both"/>
      </w:pPr>
      <w:bookmarkStart w:id="189" w:name="_Toc62221486"/>
      <w:r>
        <w:t>SDG 7.1.2. Universal access to clean cooking</w:t>
      </w:r>
      <w:bookmarkEnd w:id="189"/>
    </w:p>
    <w:p w14:paraId="24524A3E" w14:textId="28FCA14A"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currently has a policy in place to connect 4.7 million city gas connections and 1.1 million biogas digesters by 2025. The universal access to clean cooking target will be achieved based on the current annual rate of improvement of 8.7 per cent in 2021. By 2030, in the current policy scenario 67.5 million households (89 per cent) in Indonesia will depend on LPG cook stoves, followed by city gas cook stoves at 5.9 million households (8 per cent), biogas digester at 2 million households (3 per cent) and electric cook stoves at 0.6 million households (1 per cent).</w:t>
      </w:r>
    </w:p>
    <w:p w14:paraId="50E021CF" w14:textId="77777777" w:rsidR="00081080" w:rsidRDefault="00081080" w:rsidP="00081080">
      <w:pPr>
        <w:pStyle w:val="Heading5"/>
        <w:spacing w:line="360" w:lineRule="auto"/>
        <w:jc w:val="both"/>
      </w:pPr>
      <w:bookmarkStart w:id="190" w:name="_Toc62221487"/>
      <w:r>
        <w:t>SDG 7.2. Renewable energy</w:t>
      </w:r>
      <w:bookmarkEnd w:id="190"/>
    </w:p>
    <w:p w14:paraId="7EC46EEB" w14:textId="7C13D6FC" w:rsidR="00081080" w:rsidRDefault="00081080">
      <w:pPr>
        <w:spacing w:line="360" w:lineRule="auto"/>
        <w:jc w:val="both"/>
        <w:rPr>
          <w:rFonts w:ascii="Arial" w:eastAsia="Arial" w:hAnsi="Arial" w:cs="Arial"/>
          <w:sz w:val="20"/>
          <w:szCs w:val="20"/>
        </w:rPr>
      </w:pPr>
      <w:r>
        <w:rPr>
          <w:rFonts w:ascii="Arial" w:eastAsia="Arial" w:hAnsi="Arial" w:cs="Arial"/>
          <w:sz w:val="20"/>
          <w:szCs w:val="20"/>
        </w:rPr>
        <w:t xml:space="preserve">The renewable energy share of TFEC in Indonesia is projected to decrease from 11.25% in 2018 to 16.4% by 2030. </w:t>
      </w:r>
    </w:p>
    <w:p w14:paraId="03F6F702" w14:textId="77777777" w:rsidR="00A031A6" w:rsidRDefault="00916FD0">
      <w:pPr>
        <w:pStyle w:val="Heading5"/>
        <w:spacing w:line="360" w:lineRule="auto"/>
        <w:jc w:val="both"/>
      </w:pPr>
      <w:bookmarkStart w:id="191" w:name="_Toc62221488"/>
      <w:r>
        <w:lastRenderedPageBreak/>
        <w:t>SDG 7.3 Energy efficiency</w:t>
      </w:r>
      <w:bookmarkEnd w:id="191"/>
    </w:p>
    <w:p w14:paraId="346EA9F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energy intensity improvements at the end-use level is modelled to improve 1% yearly, based on the Government of Indonesia’s targets, from 2018 to 2025. The primary energy intensity, a proxy for the measurement of energy efficiency improvement is estimated to be 2.41 MJ/US$ and falls short of the SDG rate of 2.39 MJ/US$ in 2030.</w:t>
      </w:r>
    </w:p>
    <w:p w14:paraId="147B694F" w14:textId="77777777" w:rsidR="00A031A6" w:rsidRDefault="00916FD0">
      <w:pPr>
        <w:pStyle w:val="Heading5"/>
        <w:spacing w:line="360" w:lineRule="auto"/>
        <w:jc w:val="both"/>
      </w:pPr>
      <w:bookmarkStart w:id="192" w:name="_Toc62221489"/>
      <w:r>
        <w:t>NDC Unconditional target</w:t>
      </w:r>
      <w:bookmarkEnd w:id="192"/>
      <w:r>
        <w:t xml:space="preserve"> </w:t>
      </w:r>
    </w:p>
    <w:p w14:paraId="5D83C9D9" w14:textId="77777777" w:rsidR="00A031A6" w:rsidRDefault="00916FD0">
      <w:pPr>
        <w:spacing w:line="360" w:lineRule="auto"/>
        <w:jc w:val="both"/>
        <w:rPr>
          <w:rFonts w:ascii="Arial" w:eastAsia="Arial" w:hAnsi="Arial" w:cs="Arial"/>
          <w:b/>
          <w:sz w:val="20"/>
          <w:szCs w:val="20"/>
        </w:rPr>
      </w:pPr>
      <w:r>
        <w:rPr>
          <w:rFonts w:ascii="Arial" w:eastAsia="Arial" w:hAnsi="Arial" w:cs="Arial"/>
          <w:sz w:val="20"/>
          <w:szCs w:val="20"/>
        </w:rPr>
        <w:t>Based on the Nationally Determined Contributions (NDC) document submitted to UNFCCC, Indonesia has committed to reducing GHG emissions in the energy sector to 11% unconditionally (without international aid) below the BAU scenario. The emissions in the current policy scenario will reach 825 MtCO2-e by 2030, compared with 880 MtCO2-e in the BAU scenario, falling short of the NDC target by 42 MtCO2-e.</w:t>
      </w:r>
    </w:p>
    <w:p w14:paraId="23E374FB" w14:textId="77777777" w:rsidR="00A031A6" w:rsidRDefault="00916FD0">
      <w:pPr>
        <w:pStyle w:val="Heading5"/>
        <w:spacing w:line="360" w:lineRule="auto"/>
        <w:jc w:val="both"/>
      </w:pPr>
      <w:bookmarkStart w:id="193" w:name="_Toc62221490"/>
      <w:r>
        <w:t>Investment required: IDR 1,733 trillion (US$ 122 billion)</w:t>
      </w:r>
      <w:bookmarkEnd w:id="193"/>
    </w:p>
    <w:p w14:paraId="680B9148"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the capacity expansion in RUPTL 2019-2028 and a linear regression forecast for the remaining two years, Indonesia will need to invest IDR 1,733 trillion (US$ 122 billion) in the power sector. The investment costs in the current policy scenario are IDR 269.9 trillion (US$ 19 billion) higher compared to the BAU scenario, mainly due to the increase in the share of renewable electricity generation capacity.</w:t>
      </w:r>
    </w:p>
    <w:p w14:paraId="2FE5F06F" w14:textId="77777777" w:rsidR="00D43E3B" w:rsidRDefault="00D43E3B" w:rsidP="00D43E3B">
      <w:pPr>
        <w:pStyle w:val="Heading5"/>
      </w:pPr>
      <w:bookmarkStart w:id="194" w:name="_Toc62221491"/>
      <w:r w:rsidRPr="00A25A8E">
        <w:t>Total net benefits from the power sector</w:t>
      </w:r>
      <w:bookmarkEnd w:id="194"/>
    </w:p>
    <w:p w14:paraId="2345A7BF" w14:textId="335E1A12" w:rsidR="00D43E3B" w:rsidRPr="00D43E3B" w:rsidRDefault="00D43E3B" w:rsidP="00D43E3B">
      <w:pPr>
        <w:rPr>
          <w:rFonts w:ascii="Arial" w:hAnsi="Arial" w:cs="Arial"/>
          <w:sz w:val="20"/>
          <w:szCs w:val="20"/>
        </w:rPr>
      </w:pPr>
      <w:r w:rsidRPr="00D43E3B">
        <w:rPr>
          <w:rFonts w:ascii="Arial" w:hAnsi="Arial" w:cs="Arial"/>
          <w:sz w:val="20"/>
          <w:szCs w:val="20"/>
        </w:rPr>
        <w:t>The total net benefits from the power sector will be IDR 3,443 trillion (US$ 23</w:t>
      </w:r>
      <w:r>
        <w:rPr>
          <w:rFonts w:ascii="Arial" w:hAnsi="Arial" w:cs="Arial"/>
          <w:sz w:val="20"/>
          <w:szCs w:val="20"/>
        </w:rPr>
        <w:t>2</w:t>
      </w:r>
      <w:r w:rsidRPr="00D43E3B">
        <w:rPr>
          <w:rFonts w:ascii="Arial" w:hAnsi="Arial" w:cs="Arial"/>
          <w:sz w:val="20"/>
          <w:szCs w:val="20"/>
        </w:rPr>
        <w:t xml:space="preserve"> billion).</w:t>
      </w:r>
    </w:p>
    <w:p w14:paraId="1ED157AB" w14:textId="74565107" w:rsidR="00A031A6" w:rsidRDefault="00916FD0">
      <w:pPr>
        <w:pStyle w:val="Heading5"/>
        <w:spacing w:line="360" w:lineRule="auto"/>
        <w:jc w:val="both"/>
      </w:pPr>
      <w:bookmarkStart w:id="195" w:name="_Toc62221492"/>
      <w:r>
        <w:t>Coal lock-in</w:t>
      </w:r>
      <w:bookmarkEnd w:id="195"/>
    </w:p>
    <w:p w14:paraId="601CECCC"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CPS scenario is based on RUPTL 2019-2028 capacity expansion. Due to the high level of coal-fired power it leads to a lock-in of coal technology. Based on a 30-year lifetime of coal-power plants, Indonesia will see an eventual phase-out possible in 2058.</w:t>
      </w:r>
    </w:p>
    <w:p w14:paraId="50B5385B" w14:textId="77777777" w:rsidR="00A031A6" w:rsidRDefault="00916FD0">
      <w:pPr>
        <w:pStyle w:val="Heading5"/>
        <w:spacing w:line="360" w:lineRule="auto"/>
        <w:jc w:val="both"/>
      </w:pPr>
      <w:bookmarkStart w:id="196" w:name="_Toc62221493"/>
      <w:r>
        <w:t>Fossil fuel subsidy</w:t>
      </w:r>
      <w:bookmarkEnd w:id="196"/>
    </w:p>
    <w:p w14:paraId="533FEAA0" w14:textId="62527CF8"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Government of Indonesia will spend IDR 1,008 trillion (US$ 71 billion) in 2020-2030, based on an annual fiscal cost of IDR 101 trillion (US$ 7.129 billion) (2017 estimate). Policy reform is required to abolish subsidies that encourage wasteful consumption.</w:t>
      </w:r>
    </w:p>
    <w:p w14:paraId="07C936B8" w14:textId="77777777" w:rsidR="00431ECD" w:rsidRDefault="00431ECD" w:rsidP="00431ECD">
      <w:pPr>
        <w:pStyle w:val="Heading5"/>
      </w:pPr>
      <w:bookmarkStart w:id="197" w:name="_Toc62221494"/>
      <w:r>
        <w:t>Energy balance</w:t>
      </w:r>
      <w:bookmarkEnd w:id="197"/>
    </w:p>
    <w:p w14:paraId="119121C5" w14:textId="77777777" w:rsidR="00431ECD" w:rsidRDefault="00431ECD">
      <w:pPr>
        <w:spacing w:line="360" w:lineRule="auto"/>
        <w:jc w:val="both"/>
        <w:rPr>
          <w:rFonts w:ascii="Arial" w:eastAsia="Arial" w:hAnsi="Arial" w:cs="Arial"/>
          <w:sz w:val="20"/>
          <w:szCs w:val="20"/>
        </w:rPr>
      </w:pPr>
    </w:p>
    <w:p w14:paraId="5618E7B9" w14:textId="77777777" w:rsidR="00A031A6" w:rsidRDefault="00916FD0">
      <w:pPr>
        <w:pStyle w:val="Heading3"/>
        <w:ind w:firstLine="716"/>
      </w:pPr>
      <w:bookmarkStart w:id="198" w:name="_Toc62221495"/>
      <w:r>
        <w:t>S</w:t>
      </w:r>
      <w:r w:rsidR="000346A2">
        <w:t>DG scenario</w:t>
      </w:r>
      <w:bookmarkEnd w:id="198"/>
    </w:p>
    <w:p w14:paraId="147E77C1" w14:textId="605092D3" w:rsidR="00C92A87" w:rsidRPr="00F47CB8" w:rsidRDefault="00F47CB8" w:rsidP="00C92A87">
      <w:pPr>
        <w:pStyle w:val="Heading4"/>
      </w:pPr>
      <w:bookmarkStart w:id="199" w:name="_Toc62221496"/>
      <w:r>
        <w:t>Scenario description</w:t>
      </w:r>
      <w:bookmarkEnd w:id="199"/>
    </w:p>
    <w:p w14:paraId="5704655D" w14:textId="6239B1DD" w:rsidR="00672401" w:rsidRPr="00672401" w:rsidRDefault="00D43E3B" w:rsidP="00672401">
      <w:pPr>
        <w:spacing w:line="360" w:lineRule="auto"/>
        <w:jc w:val="both"/>
        <w:rPr>
          <w:rFonts w:ascii="Arial" w:hAnsi="Arial" w:cs="Arial"/>
          <w:b/>
          <w:sz w:val="20"/>
          <w:szCs w:val="20"/>
        </w:rPr>
      </w:pPr>
      <w:r w:rsidRPr="00D43E3B">
        <w:rPr>
          <w:rFonts w:ascii="Arial" w:hAnsi="Arial" w:cs="Arial"/>
          <w:sz w:val="20"/>
          <w:szCs w:val="20"/>
        </w:rPr>
        <w:t xml:space="preserve">This scenario looks at achieving SDG 7 targets and the unconditional NDC target. Universal access to electricity is achieved by off-grid technologies, and the clean cooking target is achieved by using electric cooking stoves. Energy efficiency is strengthened to achieve SDG 7.3 target, and the optimum share </w:t>
      </w:r>
      <w:r w:rsidRPr="00D43E3B">
        <w:rPr>
          <w:rFonts w:ascii="Arial" w:hAnsi="Arial" w:cs="Arial"/>
          <w:sz w:val="20"/>
          <w:szCs w:val="20"/>
        </w:rPr>
        <w:lastRenderedPageBreak/>
        <w:t>of renewable energy is estimated using the NDC unconditional target as the constraint, together with least cost optimization for the power sector.</w:t>
      </w:r>
      <w:r w:rsidR="00672401">
        <w:rPr>
          <w:rFonts w:ascii="Arial" w:hAnsi="Arial" w:cs="Arial"/>
          <w:sz w:val="20"/>
          <w:szCs w:val="20"/>
        </w:rPr>
        <w:t>.</w:t>
      </w:r>
    </w:p>
    <w:p w14:paraId="52C4EEE5" w14:textId="0DECF875" w:rsidR="00A031A6" w:rsidRPr="00672401" w:rsidRDefault="00916FD0" w:rsidP="00672401">
      <w:pPr>
        <w:pStyle w:val="Heading5"/>
        <w:spacing w:line="360" w:lineRule="auto"/>
        <w:jc w:val="both"/>
        <w:rPr>
          <w:b w:val="0"/>
        </w:rPr>
      </w:pPr>
      <w:bookmarkStart w:id="200" w:name="_Toc62221497"/>
      <w:r>
        <w:t>SDG 7.1.1. Universal access to electricity</w:t>
      </w:r>
      <w:bookmarkEnd w:id="200"/>
    </w:p>
    <w:p w14:paraId="680DA17A" w14:textId="3E446A16"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6DF8C0CD" w14:textId="77777777" w:rsidR="00A031A6" w:rsidRDefault="00916FD0">
      <w:pPr>
        <w:pStyle w:val="Heading5"/>
        <w:spacing w:line="360" w:lineRule="auto"/>
        <w:jc w:val="both"/>
      </w:pPr>
      <w:bookmarkStart w:id="201" w:name="_Toc62221498"/>
      <w:r>
        <w:t>SDG 7.1.2. Universal access to clean cooking</w:t>
      </w:r>
      <w:bookmarkEnd w:id="201"/>
    </w:p>
    <w:p w14:paraId="7B095F7F"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31A1820D"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1C06EA64" w14:textId="77777777" w:rsidR="00A031A6" w:rsidRDefault="00916FD0">
      <w:pPr>
        <w:pStyle w:val="Heading5"/>
        <w:spacing w:line="360" w:lineRule="auto"/>
        <w:jc w:val="both"/>
      </w:pPr>
      <w:bookmarkStart w:id="202" w:name="_Toc62221499"/>
      <w:r>
        <w:t>SDG 7.2. Renewable energy</w:t>
      </w:r>
      <w:bookmarkEnd w:id="202"/>
    </w:p>
    <w:p w14:paraId="505AC49C" w14:textId="3C327121"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renewable energy in total final energy consumption will be 22.8% by 2030, which is the optimum share to ensure the achievement of other SDG 7 targets and the NDC constraints. Renewable energy generation is projected to increase significantly and contribute 63% of the total electricity generation in 2030, led by growth in hydropower, geothermal and solar power technologies. Coal-fired power plant capacity addition will be eliminated, compared to 27GW capacity addition planned.</w:t>
      </w:r>
    </w:p>
    <w:p w14:paraId="762AE08B" w14:textId="6861BD6B" w:rsidR="00D43E3B" w:rsidRDefault="00D43E3B" w:rsidP="00D43E3B">
      <w:pPr>
        <w:pStyle w:val="Heading5"/>
      </w:pPr>
      <w:bookmarkStart w:id="203" w:name="_Toc62221500"/>
      <w:r>
        <w:t>SDG 7.3. Energy Efficiency</w:t>
      </w:r>
      <w:bookmarkEnd w:id="203"/>
    </w:p>
    <w:p w14:paraId="6058A131" w14:textId="77777777" w:rsidR="00D43E3B" w:rsidRPr="00D43E3B" w:rsidRDefault="00D43E3B" w:rsidP="00D43E3B">
      <w:pPr>
        <w:spacing w:line="360" w:lineRule="auto"/>
        <w:jc w:val="both"/>
        <w:rPr>
          <w:rFonts w:ascii="Arial" w:hAnsi="Arial" w:cs="Arial"/>
          <w:sz w:val="20"/>
          <w:szCs w:val="20"/>
        </w:rPr>
      </w:pPr>
      <w:r w:rsidRPr="00D43E3B">
        <w:rPr>
          <w:rFonts w:ascii="Arial" w:hAnsi="Arial" w:cs="Arial"/>
          <w:sz w:val="20"/>
          <w:szCs w:val="20"/>
        </w:rPr>
        <w:t>Achievement of the SDG 7 target of 2.39 MJ/US$ by 2030, will require 1.53 per cent reduction in energy intensity per year, up to 2030. This equates with reducing TFEC by 107 MBOE by 2030. The NEXSTEP analysis identified the following measures for supporting this reduction cost-effectively:</w:t>
      </w:r>
    </w:p>
    <w:p w14:paraId="432CB083"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t>Convert 50 per cent of passenger buses to electric buses by 2030, saving 35.5 million barrels of oil equivalent (BOE) annually;</w:t>
      </w:r>
    </w:p>
    <w:p w14:paraId="247C7805"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t>Convert 50 per cent of passenger cars to electric cars by 2030, saving 15.17 million BOE annually;</w:t>
      </w:r>
    </w:p>
    <w:p w14:paraId="561516E8"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t>Change the wet process of clinker production in the cement industry to a pre-heated process using pre-calciner kilns, saving 13.7 million BOE annually;</w:t>
      </w:r>
    </w:p>
    <w:p w14:paraId="021C99E0"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t>Introduce MEPS for all new lights from 2022 onwards to reduce CFL 14W to CFL 11W, saving 9.5 million BOE annually;</w:t>
      </w:r>
    </w:p>
    <w:p w14:paraId="1E47E6D1"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t>Improve fuel economy standards by 20 per cent for all heavy-duty vehicles from 2022 onwards, saving 9.3 million BOE annually;</w:t>
      </w:r>
    </w:p>
    <w:p w14:paraId="476E9B7F"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lastRenderedPageBreak/>
        <w:t xml:space="preserve">Introduce MEPS for all new air-conditioners from 2022 onwards, saving 4.9 million BOE annually; </w:t>
      </w:r>
    </w:p>
    <w:p w14:paraId="7950311F" w14:textId="77777777" w:rsidR="00D43E3B" w:rsidRPr="00431ECD" w:rsidRDefault="00D43E3B" w:rsidP="00431ECD">
      <w:pPr>
        <w:pStyle w:val="ListParagraph"/>
        <w:numPr>
          <w:ilvl w:val="0"/>
          <w:numId w:val="40"/>
        </w:numPr>
        <w:spacing w:line="360" w:lineRule="auto"/>
        <w:jc w:val="both"/>
        <w:rPr>
          <w:rFonts w:ascii="Arial" w:hAnsi="Arial" w:cs="Arial"/>
          <w:sz w:val="20"/>
          <w:szCs w:val="20"/>
        </w:rPr>
      </w:pPr>
      <w:r w:rsidRPr="00431ECD">
        <w:rPr>
          <w:rFonts w:ascii="Arial" w:hAnsi="Arial" w:cs="Arial"/>
          <w:sz w:val="20"/>
          <w:szCs w:val="20"/>
        </w:rPr>
        <w:t>Switch from traditional cooking to clean cooking (electric cooking stove), saving 19 million BOE annually.</w:t>
      </w:r>
    </w:p>
    <w:p w14:paraId="300B102C" w14:textId="77777777" w:rsidR="00A031A6" w:rsidRDefault="00916FD0">
      <w:pPr>
        <w:pStyle w:val="Heading5"/>
        <w:spacing w:line="360" w:lineRule="auto"/>
        <w:jc w:val="both"/>
      </w:pPr>
      <w:bookmarkStart w:id="204" w:name="_Toc62221501"/>
      <w:r>
        <w:t>NDC unconditional target</w:t>
      </w:r>
      <w:bookmarkEnd w:id="204"/>
      <w:r>
        <w:t xml:space="preserve"> </w:t>
      </w:r>
    </w:p>
    <w:p w14:paraId="33784785"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Achievement of the unconditional target will require the 2030 emissions to drop to 783 MtCO2-e compared with the 2030 BAU emissions of 880 MtCO2-e. Based on emission constraints and NEMO-based optimization for least-cost electric generation, the overall emission from this scenario is 595 MtCO2-e, a drop of 286 MtCO2-e compared with the baseline. This will be achieved by:</w:t>
      </w:r>
    </w:p>
    <w:p w14:paraId="285C837F" w14:textId="77777777" w:rsidR="00A031A6" w:rsidRDefault="00916FD0">
      <w:pPr>
        <w:numPr>
          <w:ilvl w:val="0"/>
          <w:numId w:val="20"/>
        </w:numPr>
        <w:pBdr>
          <w:top w:val="nil"/>
          <w:left w:val="nil"/>
          <w:bottom w:val="nil"/>
          <w:right w:val="nil"/>
          <w:between w:val="nil"/>
        </w:pBdr>
        <w:spacing w:after="0" w:line="360"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Reducing the consumption emissions by 69 MtCO2-e. This is largely achieved by implementing energy efficiency measures</w:t>
      </w:r>
      <w:r>
        <w:rPr>
          <w:color w:val="000000"/>
        </w:rPr>
        <w:t xml:space="preserve"> </w:t>
      </w:r>
      <w:r>
        <w:rPr>
          <w:rFonts w:ascii="Arial" w:eastAsia="Arial" w:hAnsi="Arial" w:cs="Arial"/>
          <w:color w:val="000000"/>
          <w:sz w:val="20"/>
          <w:szCs w:val="20"/>
        </w:rPr>
        <w:t>and fuel switching in the transport sector;</w:t>
      </w:r>
    </w:p>
    <w:p w14:paraId="002D723D" w14:textId="77777777" w:rsidR="00A031A6" w:rsidRDefault="00916FD0">
      <w:pPr>
        <w:spacing w:line="360" w:lineRule="auto"/>
        <w:ind w:left="742" w:hanging="364"/>
        <w:jc w:val="both"/>
        <w:rPr>
          <w:rFonts w:ascii="Arial" w:eastAsia="Arial" w:hAnsi="Arial" w:cs="Arial"/>
          <w:color w:val="000000"/>
          <w:sz w:val="21"/>
          <w:szCs w:val="21"/>
        </w:rPr>
      </w:pPr>
      <w:r>
        <w:rPr>
          <w:rFonts w:ascii="Arial" w:eastAsia="Arial" w:hAnsi="Arial" w:cs="Arial"/>
          <w:sz w:val="20"/>
          <w:szCs w:val="20"/>
        </w:rPr>
        <w:t xml:space="preserve">(b)  Reducing the electricity generation emissions by 216 MtCO2-e. This is achieved by changing the fuel mix in the power sector. </w:t>
      </w:r>
    </w:p>
    <w:p w14:paraId="6A842C21" w14:textId="77777777" w:rsidR="00A031A6" w:rsidRDefault="00916FD0">
      <w:pPr>
        <w:pStyle w:val="Heading5"/>
        <w:spacing w:line="360" w:lineRule="auto"/>
        <w:jc w:val="both"/>
      </w:pPr>
      <w:bookmarkStart w:id="205" w:name="_Toc62221502"/>
      <w:r>
        <w:t>Investment required: IDR 2,499 trillion (US$ 176 billion)</w:t>
      </w:r>
      <w:bookmarkEnd w:id="205"/>
      <w:r>
        <w:t xml:space="preserve"> </w:t>
      </w:r>
    </w:p>
    <w:p w14:paraId="6B9DE101"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2,499 trillion (US$ 176 billion) by 2030. This includes costs of:</w:t>
      </w:r>
    </w:p>
    <w:p w14:paraId="22CDC49F" w14:textId="77777777" w:rsidR="00A031A6" w:rsidRDefault="00916FD0">
      <w:pPr>
        <w:numPr>
          <w:ilvl w:val="0"/>
          <w:numId w:val="17"/>
        </w:numPr>
        <w:pBdr>
          <w:top w:val="nil"/>
          <w:left w:val="nil"/>
          <w:bottom w:val="nil"/>
          <w:right w:val="nil"/>
          <w:between w:val="nil"/>
        </w:pBdr>
        <w:spacing w:after="0" w:line="360" w:lineRule="auto"/>
        <w:ind w:hanging="103"/>
        <w:jc w:val="both"/>
        <w:rPr>
          <w:color w:val="000000"/>
          <w:sz w:val="20"/>
          <w:szCs w:val="20"/>
        </w:rPr>
      </w:pPr>
      <w:r>
        <w:rPr>
          <w:rFonts w:ascii="Arial" w:eastAsia="Arial" w:hAnsi="Arial" w:cs="Arial"/>
          <w:color w:val="000000"/>
          <w:sz w:val="20"/>
          <w:szCs w:val="20"/>
        </w:rPr>
        <w:t>IDR 16.6 trillion (US$ 1.17 billion) to achieve access to electricity;</w:t>
      </w:r>
    </w:p>
    <w:p w14:paraId="4AFCD8E9" w14:textId="77777777" w:rsidR="00A031A6" w:rsidRDefault="00916FD0">
      <w:pPr>
        <w:numPr>
          <w:ilvl w:val="0"/>
          <w:numId w:val="17"/>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IDR 9.77 trillion (US$ 0.68 billion) to achieve access to clean cooking fuel;</w:t>
      </w:r>
    </w:p>
    <w:p w14:paraId="611A319E" w14:textId="0E66ACD0" w:rsidR="00A031A6" w:rsidRPr="00D43E3B" w:rsidRDefault="00916FD0">
      <w:pPr>
        <w:numPr>
          <w:ilvl w:val="0"/>
          <w:numId w:val="17"/>
        </w:numPr>
        <w:pBdr>
          <w:top w:val="nil"/>
          <w:left w:val="nil"/>
          <w:bottom w:val="nil"/>
          <w:right w:val="nil"/>
          <w:between w:val="nil"/>
        </w:pBdr>
        <w:spacing w:line="360" w:lineRule="auto"/>
        <w:ind w:hanging="117"/>
        <w:jc w:val="both"/>
        <w:rPr>
          <w:color w:val="000000"/>
          <w:sz w:val="20"/>
          <w:szCs w:val="20"/>
        </w:rPr>
      </w:pPr>
      <w:r>
        <w:rPr>
          <w:rFonts w:ascii="Arial" w:eastAsia="Arial" w:hAnsi="Arial" w:cs="Arial"/>
          <w:color w:val="000000"/>
          <w:sz w:val="20"/>
          <w:szCs w:val="20"/>
        </w:rPr>
        <w:t>IDR 2,473 trillion (US$ 174 billion) to change the fuel mix in the power sector.</w:t>
      </w:r>
    </w:p>
    <w:p w14:paraId="6B586FD2" w14:textId="77777777" w:rsidR="00D43E3B" w:rsidRDefault="00D43E3B" w:rsidP="00D43E3B">
      <w:pPr>
        <w:pStyle w:val="Heading5"/>
      </w:pPr>
      <w:bookmarkStart w:id="206" w:name="_Toc62221503"/>
      <w:r w:rsidRPr="00A25A8E">
        <w:t>Total net benefits from the power sector</w:t>
      </w:r>
      <w:bookmarkEnd w:id="206"/>
    </w:p>
    <w:p w14:paraId="0E80FF38" w14:textId="77777777" w:rsidR="00D43E3B" w:rsidRPr="00D43E3B" w:rsidRDefault="00D43E3B" w:rsidP="00D43E3B">
      <w:pPr>
        <w:spacing w:line="360" w:lineRule="auto"/>
        <w:jc w:val="both"/>
        <w:rPr>
          <w:rFonts w:ascii="Arial" w:eastAsia="Arial" w:hAnsi="Arial" w:cs="Arial"/>
          <w:sz w:val="20"/>
          <w:szCs w:val="20"/>
        </w:rPr>
      </w:pPr>
      <w:r w:rsidRPr="00D43E3B">
        <w:rPr>
          <w:rFonts w:ascii="Arial" w:eastAsia="Arial" w:hAnsi="Arial" w:cs="Arial"/>
          <w:sz w:val="20"/>
          <w:szCs w:val="20"/>
        </w:rPr>
        <w:t>The total net benefits from the power sector will be IDR 5,130 trillion (US$ 361 billion), over IDR 1,833 trillion (US$ 129 billion) higher compared to the current policy scenario. This is because of the higher running fuel and O&amp;M costs of fossil fuel-based power plant lifetime costs.</w:t>
      </w:r>
    </w:p>
    <w:p w14:paraId="7DD63D28" w14:textId="77777777" w:rsidR="00431ECD" w:rsidRDefault="00431ECD" w:rsidP="00431ECD">
      <w:pPr>
        <w:pStyle w:val="Heading5"/>
        <w:spacing w:line="360" w:lineRule="auto"/>
        <w:jc w:val="both"/>
      </w:pPr>
      <w:bookmarkStart w:id="207" w:name="_Toc62221504"/>
      <w:r>
        <w:t>Fossil fuel subsidy</w:t>
      </w:r>
      <w:bookmarkEnd w:id="207"/>
    </w:p>
    <w:p w14:paraId="1EF52F27" w14:textId="34F61FCD" w:rsidR="00431ECD" w:rsidRDefault="00431ECD" w:rsidP="00431ECD">
      <w:pPr>
        <w:spacing w:line="360" w:lineRule="auto"/>
        <w:jc w:val="both"/>
        <w:rPr>
          <w:rFonts w:ascii="Arial" w:eastAsia="Arial" w:hAnsi="Arial" w:cs="Arial"/>
          <w:sz w:val="20"/>
          <w:szCs w:val="20"/>
        </w:rPr>
      </w:pPr>
      <w:r>
        <w:rPr>
          <w:rFonts w:ascii="Arial" w:eastAsia="Arial" w:hAnsi="Arial" w:cs="Arial"/>
          <w:sz w:val="20"/>
          <w:szCs w:val="20"/>
        </w:rPr>
        <w:t>The Government of Indonesia will spend IDR 1,008 trillion (US$ 71 billion) in 2020-2030, based on an annual fiscal cost of IDR 101 trillion (US$ 7.129 billion) (2017 estimate). Policy reform is required to abolish subsidies that encourage wasteful consumption.</w:t>
      </w:r>
    </w:p>
    <w:p w14:paraId="5325A98C" w14:textId="77777777" w:rsidR="00431ECD" w:rsidRDefault="00431ECD" w:rsidP="00431ECD">
      <w:pPr>
        <w:pStyle w:val="Heading5"/>
        <w:spacing w:line="360" w:lineRule="auto"/>
        <w:jc w:val="both"/>
      </w:pPr>
      <w:bookmarkStart w:id="208" w:name="_Toc62221505"/>
      <w:r>
        <w:t>Coal lock-in</w:t>
      </w:r>
      <w:bookmarkEnd w:id="208"/>
    </w:p>
    <w:p w14:paraId="40C2D083" w14:textId="74DBDACC" w:rsidR="00431ECD" w:rsidRDefault="00431ECD" w:rsidP="00431ECD">
      <w:pPr>
        <w:spacing w:line="360" w:lineRule="auto"/>
        <w:jc w:val="both"/>
        <w:rPr>
          <w:rFonts w:ascii="Arial" w:hAnsi="Arial" w:cs="Arial"/>
          <w:sz w:val="20"/>
          <w:szCs w:val="20"/>
        </w:rPr>
      </w:pPr>
      <w:r w:rsidRPr="00124073">
        <w:rPr>
          <w:rFonts w:ascii="Arial" w:hAnsi="Arial" w:cs="Arial"/>
          <w:sz w:val="20"/>
          <w:szCs w:val="20"/>
        </w:rPr>
        <w:t xml:space="preserve">Coal-fired power plant capacity addition will be </w:t>
      </w:r>
      <w:r>
        <w:rPr>
          <w:rFonts w:ascii="Arial" w:hAnsi="Arial" w:cs="Arial"/>
          <w:sz w:val="20"/>
          <w:szCs w:val="20"/>
        </w:rPr>
        <w:t>eliminated</w:t>
      </w:r>
      <w:r w:rsidRPr="00124073">
        <w:rPr>
          <w:rFonts w:ascii="Arial" w:hAnsi="Arial" w:cs="Arial"/>
          <w:sz w:val="20"/>
          <w:szCs w:val="20"/>
        </w:rPr>
        <w:t xml:space="preserve">, compared to </w:t>
      </w:r>
      <w:r>
        <w:rPr>
          <w:rFonts w:ascii="Arial" w:hAnsi="Arial" w:cs="Arial"/>
          <w:sz w:val="20"/>
          <w:szCs w:val="20"/>
        </w:rPr>
        <w:t>27</w:t>
      </w:r>
      <w:r w:rsidRPr="00124073">
        <w:rPr>
          <w:rFonts w:ascii="Arial" w:hAnsi="Arial" w:cs="Arial"/>
          <w:sz w:val="20"/>
          <w:szCs w:val="20"/>
        </w:rPr>
        <w:t>GW capacity addition planned.</w:t>
      </w:r>
    </w:p>
    <w:p w14:paraId="23D654AD" w14:textId="77777777" w:rsidR="00431ECD" w:rsidRDefault="00431ECD" w:rsidP="00431ECD">
      <w:pPr>
        <w:pStyle w:val="Heading5"/>
      </w:pPr>
      <w:bookmarkStart w:id="209" w:name="_Toc62221506"/>
      <w:r>
        <w:t>Energy balance</w:t>
      </w:r>
      <w:bookmarkEnd w:id="209"/>
    </w:p>
    <w:p w14:paraId="3165A777" w14:textId="77777777" w:rsidR="00431ECD" w:rsidRDefault="00431ECD" w:rsidP="00431ECD">
      <w:pPr>
        <w:spacing w:line="360" w:lineRule="auto"/>
        <w:jc w:val="both"/>
        <w:rPr>
          <w:rFonts w:ascii="Arial" w:hAnsi="Arial" w:cs="Arial"/>
          <w:sz w:val="20"/>
          <w:szCs w:val="20"/>
        </w:rPr>
      </w:pPr>
    </w:p>
    <w:p w14:paraId="44EE6579" w14:textId="77777777" w:rsidR="000346A2" w:rsidRDefault="000346A2" w:rsidP="000346A2">
      <w:pPr>
        <w:pStyle w:val="Heading3"/>
        <w:ind w:firstLine="716"/>
      </w:pPr>
      <w:bookmarkStart w:id="210" w:name="_Toc62221507"/>
      <w:r>
        <w:t>Ambitious scenario</w:t>
      </w:r>
      <w:bookmarkEnd w:id="210"/>
    </w:p>
    <w:p w14:paraId="08B79C17" w14:textId="77777777" w:rsidR="000346A2" w:rsidRPr="000346A2" w:rsidRDefault="000346A2" w:rsidP="000346A2">
      <w:pPr>
        <w:rPr>
          <w:rFonts w:ascii="Arial" w:hAnsi="Arial" w:cs="Arial"/>
          <w:sz w:val="20"/>
          <w:szCs w:val="20"/>
        </w:rPr>
      </w:pPr>
      <w:r w:rsidRPr="000346A2">
        <w:rPr>
          <w:rFonts w:ascii="Arial" w:hAnsi="Arial" w:cs="Arial"/>
          <w:sz w:val="20"/>
          <w:szCs w:val="20"/>
        </w:rPr>
        <w:t>A set of 10 ambitious scenarios were developed</w:t>
      </w:r>
      <w:r>
        <w:rPr>
          <w:rFonts w:ascii="Arial" w:hAnsi="Arial" w:cs="Arial"/>
          <w:sz w:val="20"/>
          <w:szCs w:val="20"/>
        </w:rPr>
        <w:t>.</w:t>
      </w:r>
      <w:r w:rsidRPr="000346A2">
        <w:rPr>
          <w:rFonts w:ascii="Arial" w:hAnsi="Arial" w:cs="Arial"/>
          <w:sz w:val="20"/>
          <w:szCs w:val="20"/>
        </w:rPr>
        <w:t xml:space="preserve"> The key messages of these sub-scenarios are summarized below.</w:t>
      </w:r>
    </w:p>
    <w:p w14:paraId="06EBDCA0" w14:textId="77777777" w:rsidR="00A031A6" w:rsidRDefault="00916FD0">
      <w:pPr>
        <w:pStyle w:val="Heading4"/>
        <w:pBdr>
          <w:bottom w:val="single" w:sz="12" w:space="1" w:color="000000"/>
        </w:pBdr>
      </w:pPr>
      <w:bookmarkStart w:id="211" w:name="_Toc62221508"/>
      <w:r>
        <w:lastRenderedPageBreak/>
        <w:t>Conditional NDC with high energy efficiency</w:t>
      </w:r>
      <w:bookmarkEnd w:id="211"/>
    </w:p>
    <w:p w14:paraId="37AEFB99" w14:textId="463F91DC" w:rsidR="00431ECD" w:rsidRDefault="00431ECD">
      <w:pPr>
        <w:pStyle w:val="Heading5"/>
        <w:spacing w:line="360" w:lineRule="auto"/>
        <w:jc w:val="both"/>
      </w:pPr>
      <w:bookmarkStart w:id="212" w:name="_Toc62221509"/>
      <w:r>
        <w:t>Scenario description</w:t>
      </w:r>
      <w:bookmarkEnd w:id="212"/>
    </w:p>
    <w:p w14:paraId="0D380B9A" w14:textId="77777777" w:rsidR="00431ECD" w:rsidRPr="00107F50" w:rsidRDefault="00431ECD" w:rsidP="00431ECD">
      <w:pPr>
        <w:spacing w:line="360" w:lineRule="auto"/>
        <w:jc w:val="both"/>
        <w:rPr>
          <w:rFonts w:ascii="Arial" w:hAnsi="Arial" w:cs="Arial"/>
          <w:sz w:val="20"/>
          <w:szCs w:val="20"/>
        </w:rPr>
      </w:pPr>
      <w:r w:rsidRPr="00107F50">
        <w:rPr>
          <w:rFonts w:ascii="Arial" w:hAnsi="Arial" w:cs="Arial"/>
          <w:sz w:val="20"/>
          <w:szCs w:val="20"/>
        </w:rPr>
        <w:t>This scenario looks at raising ambition beyond SDG 7. Targets for access to electricity and clean cooking fuel are achieved by least-cost options, which are off-grid technologies and electric cooking stoves, respectively. Energy efficiency is strengthened further to go beyond the SDG 7.3 target, and the optimum share of renewable energy is estimated using the NDC conditional target as the constraint, together with least cost optimization for the power sector</w:t>
      </w:r>
      <w:r>
        <w:rPr>
          <w:rFonts w:ascii="Arial" w:hAnsi="Arial" w:cs="Arial"/>
          <w:sz w:val="20"/>
          <w:szCs w:val="20"/>
        </w:rPr>
        <w:t>.</w:t>
      </w:r>
    </w:p>
    <w:p w14:paraId="5B75F1E8" w14:textId="77777777" w:rsidR="00431ECD" w:rsidRPr="00672401" w:rsidRDefault="00431ECD" w:rsidP="00431ECD">
      <w:pPr>
        <w:pStyle w:val="Heading5"/>
        <w:spacing w:line="360" w:lineRule="auto"/>
        <w:jc w:val="both"/>
        <w:rPr>
          <w:b w:val="0"/>
        </w:rPr>
      </w:pPr>
      <w:bookmarkStart w:id="213" w:name="_Toc62221510"/>
      <w:r>
        <w:t>SDG 7.1.1. Universal access to electricity</w:t>
      </w:r>
      <w:bookmarkEnd w:id="213"/>
    </w:p>
    <w:p w14:paraId="56CE4904" w14:textId="143B33F1" w:rsidR="00431ECD" w:rsidRDefault="00431ECD" w:rsidP="00431ECD">
      <w:pPr>
        <w:spacing w:line="360" w:lineRule="auto"/>
        <w:jc w:val="both"/>
        <w:rPr>
          <w:rFonts w:ascii="Arial" w:eastAsia="Arial" w:hAnsi="Arial" w:cs="Arial"/>
          <w:sz w:val="20"/>
          <w:szCs w:val="20"/>
        </w:rPr>
      </w:pPr>
      <w:r>
        <w:rPr>
          <w:rFonts w:ascii="Arial" w:eastAsia="Arial" w:hAnsi="Arial" w:cs="Arial"/>
          <w:sz w:val="20"/>
          <w:szCs w:val="20"/>
        </w:rPr>
        <w:t>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42D40255" w14:textId="77777777" w:rsidR="00431ECD" w:rsidRDefault="00431ECD" w:rsidP="00431ECD">
      <w:pPr>
        <w:pStyle w:val="Heading5"/>
        <w:spacing w:line="360" w:lineRule="auto"/>
        <w:jc w:val="both"/>
      </w:pPr>
      <w:bookmarkStart w:id="214" w:name="_Toc62221511"/>
      <w:r>
        <w:t>SDG 7.1.2. Universal access to clean cooking</w:t>
      </w:r>
      <w:bookmarkEnd w:id="214"/>
    </w:p>
    <w:p w14:paraId="5A6A5596" w14:textId="1222858E" w:rsidR="00431ECD" w:rsidRDefault="00431ECD" w:rsidP="00431ECD">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3C624C1C" w14:textId="77777777" w:rsidR="00431ECD" w:rsidRDefault="00431ECD" w:rsidP="00431ECD">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217B976E" w14:textId="5F18061A" w:rsidR="00A031A6" w:rsidRDefault="00916FD0">
      <w:pPr>
        <w:pStyle w:val="Heading5"/>
        <w:spacing w:line="360" w:lineRule="auto"/>
        <w:jc w:val="both"/>
      </w:pPr>
      <w:bookmarkStart w:id="215" w:name="_Toc62221512"/>
      <w:r>
        <w:t>SDG 7.2. Renewable energy</w:t>
      </w:r>
      <w:bookmarkEnd w:id="215"/>
    </w:p>
    <w:p w14:paraId="1D6D1E5F" w14:textId="63BD3864"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22% by 2030, which is the optimum share to ensure the achievement of other SDG 7 targets and the NDC constraints. Renewable energy generation is projected to increase significantly and contribute 63% of the total electricity generation in 2030, led by growth in hydropower, geothermal and solar power technologies. </w:t>
      </w:r>
    </w:p>
    <w:p w14:paraId="7FE075B9" w14:textId="77777777" w:rsidR="00A031A6" w:rsidRDefault="00916FD0">
      <w:pPr>
        <w:pStyle w:val="Heading5"/>
        <w:spacing w:line="360" w:lineRule="auto"/>
        <w:jc w:val="both"/>
      </w:pPr>
      <w:bookmarkStart w:id="216" w:name="_Toc62221513"/>
      <w:r>
        <w:t>SDG 7.3. Energy efficiency</w:t>
      </w:r>
      <w:bookmarkEnd w:id="216"/>
    </w:p>
    <w:p w14:paraId="611145CC"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14:paraId="6EAF8C3B"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5FA3AD91"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25467084"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1A572D74"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14:paraId="1D778925"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lastRenderedPageBreak/>
        <w:t>Introduce MEPS for all new washing machines from 2022 onwards, saving 2 million BOE annually;</w:t>
      </w:r>
    </w:p>
    <w:p w14:paraId="0DD5074B"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40857A39"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5BAEBC77"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14:paraId="59810050"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44F5EA28"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14:paraId="2924EC5B"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14:paraId="088C2126"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02E06A3A"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7657E81E" w14:textId="516A4E9C"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 of passenger buses to electric buses by 2030, saving 55 million barrels of oil equivalent (BOE) annually;</w:t>
      </w:r>
    </w:p>
    <w:p w14:paraId="2570B7D2"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7048B380" w14:textId="76568F16"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 of passenger cars to electric cars by 2030, saving 24 million BOE annually;</w:t>
      </w:r>
    </w:p>
    <w:p w14:paraId="301B28E4" w14:textId="77777777" w:rsidR="00A031A6" w:rsidRDefault="00916FD0">
      <w:pPr>
        <w:numPr>
          <w:ilvl w:val="0"/>
          <w:numId w:val="7"/>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1CFC822E" w14:textId="77777777" w:rsidR="00A031A6" w:rsidRDefault="00916FD0">
      <w:pPr>
        <w:numPr>
          <w:ilvl w:val="0"/>
          <w:numId w:val="7"/>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14:paraId="1E1ADFE7" w14:textId="77777777" w:rsidR="00A031A6" w:rsidRDefault="00916FD0">
      <w:pPr>
        <w:pStyle w:val="Heading5"/>
        <w:spacing w:line="360" w:lineRule="auto"/>
        <w:jc w:val="both"/>
      </w:pPr>
      <w:bookmarkStart w:id="217" w:name="_Toc62221514"/>
      <w:r>
        <w:t>NDC conditional target</w:t>
      </w:r>
      <w:bookmarkEnd w:id="217"/>
    </w:p>
    <w:p w14:paraId="080C5572"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Indonesia has committed to reducing GHG emissions in the energy sector to 14% conditionally (with international aid) below the BAU scenario. Achievement of the conditional target will require the 2030 emissions to drop to 757 MtCO2-e compared with the 2030 BAU emissions of 880 MtCO2-e.</w:t>
      </w:r>
    </w:p>
    <w:p w14:paraId="5C36B68D"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emissions from this scenario is 577 MtCO2-e, a drop of 303 MtCO2-e compared to the baseline. This will be achieved by:</w:t>
      </w:r>
    </w:p>
    <w:p w14:paraId="3A062BA5" w14:textId="77777777" w:rsidR="00A031A6" w:rsidRDefault="00916FD0">
      <w:pPr>
        <w:numPr>
          <w:ilvl w:val="0"/>
          <w:numId w:val="9"/>
        </w:numPr>
        <w:pBdr>
          <w:top w:val="nil"/>
          <w:left w:val="nil"/>
          <w:bottom w:val="nil"/>
          <w:right w:val="nil"/>
          <w:between w:val="nil"/>
        </w:pBdr>
        <w:spacing w:after="0" w:line="360" w:lineRule="auto"/>
        <w:ind w:hanging="146"/>
        <w:jc w:val="both"/>
        <w:rPr>
          <w:color w:val="000000"/>
          <w:sz w:val="20"/>
          <w:szCs w:val="20"/>
        </w:rPr>
      </w:pPr>
      <w:r>
        <w:rPr>
          <w:rFonts w:ascii="Arial" w:eastAsia="Arial" w:hAnsi="Arial" w:cs="Arial"/>
          <w:color w:val="000000"/>
          <w:sz w:val="20"/>
          <w:szCs w:val="20"/>
        </w:rPr>
        <w:t>Reducing the consumption emissions by 76 MtCO2-e. This is largely achieved by implementing energy efficiency measures and fuel switching in the transport sector;</w:t>
      </w:r>
    </w:p>
    <w:p w14:paraId="19C52C6A" w14:textId="77777777" w:rsidR="00A031A6" w:rsidRDefault="00916FD0">
      <w:pPr>
        <w:numPr>
          <w:ilvl w:val="0"/>
          <w:numId w:val="9"/>
        </w:numPr>
        <w:pBdr>
          <w:top w:val="nil"/>
          <w:left w:val="nil"/>
          <w:bottom w:val="nil"/>
          <w:right w:val="nil"/>
          <w:between w:val="nil"/>
        </w:pBdr>
        <w:spacing w:line="360" w:lineRule="auto"/>
        <w:ind w:hanging="132"/>
        <w:jc w:val="both"/>
        <w:rPr>
          <w:color w:val="000000"/>
          <w:sz w:val="20"/>
          <w:szCs w:val="20"/>
        </w:rPr>
      </w:pPr>
      <w:r>
        <w:rPr>
          <w:rFonts w:ascii="Arial" w:eastAsia="Arial" w:hAnsi="Arial" w:cs="Arial"/>
          <w:color w:val="000000"/>
          <w:sz w:val="20"/>
          <w:szCs w:val="20"/>
        </w:rPr>
        <w:t xml:space="preserve">Reducing the electricity generation emissions by 227 MtCO2-e. This will be achieved by changing the fuel mix in the power sector. </w:t>
      </w:r>
    </w:p>
    <w:p w14:paraId="3C459F52" w14:textId="77777777" w:rsidR="00A031A6" w:rsidRDefault="00916FD0">
      <w:pPr>
        <w:pStyle w:val="Heading5"/>
        <w:spacing w:line="360" w:lineRule="auto"/>
        <w:jc w:val="both"/>
      </w:pPr>
      <w:bookmarkStart w:id="218" w:name="_Toc62221515"/>
      <w:r>
        <w:t>Investment required: IDR 2,271 trillion (US$ 160 billion)</w:t>
      </w:r>
      <w:bookmarkEnd w:id="218"/>
    </w:p>
    <w:p w14:paraId="55FDEB33"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2,271 trillion (US$ 160 billion) by 2030. This includes costs of:</w:t>
      </w:r>
    </w:p>
    <w:p w14:paraId="0934D846" w14:textId="77777777" w:rsidR="00A031A6" w:rsidRDefault="00916FD0">
      <w:pPr>
        <w:numPr>
          <w:ilvl w:val="0"/>
          <w:numId w:val="32"/>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IDR 16.6 trillion (US$ 1.17 billion) to achieve access to electricity;</w:t>
      </w:r>
    </w:p>
    <w:p w14:paraId="4B59B99D" w14:textId="77777777" w:rsidR="00A031A6" w:rsidRDefault="00916FD0">
      <w:pPr>
        <w:numPr>
          <w:ilvl w:val="0"/>
          <w:numId w:val="32"/>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IDR 9.77 trillion (US$ 0.68 billion) to achieve access to clean cooking fuel;</w:t>
      </w:r>
    </w:p>
    <w:p w14:paraId="4C32A11D" w14:textId="323FD8BD" w:rsidR="00A031A6" w:rsidRPr="00431ECD" w:rsidRDefault="00916FD0">
      <w:pPr>
        <w:numPr>
          <w:ilvl w:val="0"/>
          <w:numId w:val="32"/>
        </w:numPr>
        <w:pBdr>
          <w:top w:val="nil"/>
          <w:left w:val="nil"/>
          <w:bottom w:val="nil"/>
          <w:right w:val="nil"/>
          <w:between w:val="nil"/>
        </w:pBdr>
        <w:spacing w:line="360" w:lineRule="auto"/>
        <w:ind w:hanging="132"/>
        <w:jc w:val="both"/>
        <w:rPr>
          <w:color w:val="000000"/>
          <w:sz w:val="20"/>
          <w:szCs w:val="20"/>
        </w:rPr>
      </w:pPr>
      <w:r>
        <w:rPr>
          <w:rFonts w:ascii="Arial" w:eastAsia="Arial" w:hAnsi="Arial" w:cs="Arial"/>
          <w:color w:val="000000"/>
          <w:sz w:val="20"/>
          <w:szCs w:val="20"/>
        </w:rPr>
        <w:lastRenderedPageBreak/>
        <w:t>IDR 2,245 trillion (US$ 158 billion) to change the fuel mix in the power sector.</w:t>
      </w:r>
    </w:p>
    <w:p w14:paraId="26F16167" w14:textId="77777777" w:rsidR="00431ECD" w:rsidRDefault="00431ECD" w:rsidP="00431ECD">
      <w:pPr>
        <w:pStyle w:val="Heading5"/>
      </w:pPr>
      <w:bookmarkStart w:id="219" w:name="_Toc62221516"/>
      <w:r w:rsidRPr="00A25A8E">
        <w:t>Total net benefits from the power sector</w:t>
      </w:r>
      <w:bookmarkEnd w:id="219"/>
    </w:p>
    <w:p w14:paraId="5CC0F521" w14:textId="5C992140" w:rsidR="00431ECD" w:rsidRDefault="00431ECD" w:rsidP="00431ECD">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4,846 trillion (US$ 341 billion), more than IDR 1,549 trillion (US$ 109 billion) higher compared with the current policy scenario. This is because of the higher running fuel and O&amp;M costs of fossil fuel-based power plant lifetime costs.</w:t>
      </w:r>
    </w:p>
    <w:p w14:paraId="03EE9019" w14:textId="77777777" w:rsidR="00431ECD" w:rsidRDefault="00431ECD" w:rsidP="00431ECD">
      <w:pPr>
        <w:pStyle w:val="Heading5"/>
        <w:spacing w:line="360" w:lineRule="auto"/>
        <w:jc w:val="both"/>
      </w:pPr>
      <w:bookmarkStart w:id="220" w:name="_Toc62221517"/>
      <w:r>
        <w:t>Coal lock-in</w:t>
      </w:r>
      <w:bookmarkEnd w:id="220"/>
    </w:p>
    <w:p w14:paraId="721AD3A4" w14:textId="4B146887" w:rsidR="00431ECD" w:rsidRDefault="00431ECD" w:rsidP="00431ECD">
      <w:pPr>
        <w:spacing w:line="360" w:lineRule="auto"/>
        <w:jc w:val="both"/>
        <w:rPr>
          <w:rFonts w:ascii="Arial" w:hAnsi="Arial" w:cs="Arial"/>
          <w:sz w:val="20"/>
          <w:szCs w:val="20"/>
        </w:rPr>
      </w:pPr>
      <w:r w:rsidRPr="00124073">
        <w:rPr>
          <w:rFonts w:ascii="Arial" w:hAnsi="Arial" w:cs="Arial"/>
          <w:sz w:val="20"/>
          <w:szCs w:val="20"/>
        </w:rPr>
        <w:t xml:space="preserve">Coal-fired power plant capacity addition will be </w:t>
      </w:r>
      <w:r>
        <w:rPr>
          <w:rFonts w:ascii="Arial" w:hAnsi="Arial" w:cs="Arial"/>
          <w:sz w:val="20"/>
          <w:szCs w:val="20"/>
        </w:rPr>
        <w:t>eliminated</w:t>
      </w:r>
      <w:r w:rsidRPr="00124073">
        <w:rPr>
          <w:rFonts w:ascii="Arial" w:hAnsi="Arial" w:cs="Arial"/>
          <w:sz w:val="20"/>
          <w:szCs w:val="20"/>
        </w:rPr>
        <w:t xml:space="preserve">, compared to </w:t>
      </w:r>
      <w:r>
        <w:rPr>
          <w:rFonts w:ascii="Arial" w:hAnsi="Arial" w:cs="Arial"/>
          <w:sz w:val="20"/>
          <w:szCs w:val="20"/>
        </w:rPr>
        <w:t>27</w:t>
      </w:r>
      <w:r w:rsidRPr="00124073">
        <w:rPr>
          <w:rFonts w:ascii="Arial" w:hAnsi="Arial" w:cs="Arial"/>
          <w:sz w:val="20"/>
          <w:szCs w:val="20"/>
        </w:rPr>
        <w:t>GW capacity addition planned.</w:t>
      </w:r>
    </w:p>
    <w:p w14:paraId="7B013B62" w14:textId="77777777" w:rsidR="00431ECD" w:rsidRDefault="00431ECD" w:rsidP="00431ECD">
      <w:pPr>
        <w:pStyle w:val="Heading5"/>
      </w:pPr>
      <w:bookmarkStart w:id="221" w:name="_Toc62221518"/>
      <w:r>
        <w:t>Energy balance</w:t>
      </w:r>
      <w:bookmarkEnd w:id="221"/>
    </w:p>
    <w:p w14:paraId="4D5BB0A6" w14:textId="77777777" w:rsidR="00A031A6" w:rsidRDefault="00916FD0">
      <w:pPr>
        <w:pStyle w:val="Heading4"/>
        <w:pBdr>
          <w:bottom w:val="single" w:sz="12" w:space="1" w:color="000000"/>
        </w:pBdr>
      </w:pPr>
      <w:bookmarkStart w:id="222" w:name="_Toc62221519"/>
      <w:r>
        <w:t>Reduced fossil fuel subsidy with low carbon price</w:t>
      </w:r>
      <w:bookmarkEnd w:id="222"/>
    </w:p>
    <w:p w14:paraId="68F41874" w14:textId="32F15106" w:rsidR="00F47CB8" w:rsidRDefault="00F47CB8">
      <w:pPr>
        <w:pStyle w:val="Heading5"/>
        <w:spacing w:line="360" w:lineRule="auto"/>
        <w:jc w:val="both"/>
      </w:pPr>
      <w:bookmarkStart w:id="223" w:name="_Toc62221520"/>
      <w:r>
        <w:t>Scenario description</w:t>
      </w:r>
      <w:bookmarkEnd w:id="223"/>
    </w:p>
    <w:p w14:paraId="0D065634" w14:textId="77777777" w:rsidR="00F47CB8" w:rsidRPr="00D12625" w:rsidRDefault="00F47CB8" w:rsidP="00F47CB8">
      <w:pPr>
        <w:spacing w:line="360" w:lineRule="auto"/>
        <w:jc w:val="both"/>
        <w:rPr>
          <w:rFonts w:ascii="Arial" w:hAnsi="Arial" w:cs="Arial"/>
          <w:sz w:val="20"/>
          <w:szCs w:val="20"/>
        </w:rPr>
      </w:pPr>
      <w:r w:rsidRPr="00D12625">
        <w:rPr>
          <w:rFonts w:ascii="Arial" w:hAnsi="Arial" w:cs="Arial"/>
          <w:sz w:val="20"/>
          <w:szCs w:val="20"/>
        </w:rPr>
        <w:t>This scenario looks at raising ambition beyond SDG 7. Energy efficiency is strengthened further to go beyond SDG 7.3 target and the optimum share of renewable energy is estimated using the NDC conditional target as the constraint, together with least-cost optimization for the power sector. The fossil fuel subsidy is removed from the consumer side and a carbon price of IDR 213,450 (US$15) per ton is introduced</w:t>
      </w:r>
      <w:r>
        <w:rPr>
          <w:rFonts w:ascii="Arial" w:hAnsi="Arial" w:cs="Arial"/>
          <w:sz w:val="20"/>
          <w:szCs w:val="20"/>
        </w:rPr>
        <w:t>.</w:t>
      </w:r>
    </w:p>
    <w:p w14:paraId="26CB5E06" w14:textId="77777777" w:rsidR="00F47CB8" w:rsidRPr="00672401" w:rsidRDefault="00F47CB8" w:rsidP="00F47CB8">
      <w:pPr>
        <w:pStyle w:val="Heading5"/>
        <w:spacing w:line="360" w:lineRule="auto"/>
        <w:jc w:val="both"/>
        <w:rPr>
          <w:b w:val="0"/>
        </w:rPr>
      </w:pPr>
      <w:bookmarkStart w:id="224" w:name="_Toc62221521"/>
      <w:r>
        <w:t>SDG 7.1.1. Universal access to electricity</w:t>
      </w:r>
      <w:bookmarkEnd w:id="224"/>
    </w:p>
    <w:p w14:paraId="62E2D5C2"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332F5B8E" w14:textId="77777777" w:rsidR="00F47CB8" w:rsidRDefault="00F47CB8" w:rsidP="00F47CB8">
      <w:pPr>
        <w:pStyle w:val="Heading5"/>
        <w:spacing w:line="360" w:lineRule="auto"/>
        <w:jc w:val="both"/>
      </w:pPr>
      <w:bookmarkStart w:id="225" w:name="_Toc62221522"/>
      <w:r>
        <w:t>SDG 7.1.2. Universal access to clean cooking</w:t>
      </w:r>
      <w:bookmarkEnd w:id="225"/>
    </w:p>
    <w:p w14:paraId="3AD81587"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0EBEA5B3"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5194A559" w14:textId="01C7CC45" w:rsidR="00A031A6" w:rsidRDefault="00916FD0">
      <w:pPr>
        <w:pStyle w:val="Heading5"/>
        <w:spacing w:line="360" w:lineRule="auto"/>
        <w:jc w:val="both"/>
      </w:pPr>
      <w:bookmarkStart w:id="226" w:name="_Toc62221523"/>
      <w:r>
        <w:lastRenderedPageBreak/>
        <w:t>SDG 7.2. Renewable energy</w:t>
      </w:r>
      <w:bookmarkEnd w:id="226"/>
    </w:p>
    <w:p w14:paraId="4E982764" w14:textId="4CC0D8DA"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24.8% by 2030, which is the optimum share to ensure the achievement of other SDG 7 targets and the NDC constraints. Renewable energy generation is projected to increase significantly and contribute 73% of the total electricity generation in 2030, led by growth in hydropower, geothermal and solar power technologies. </w:t>
      </w:r>
    </w:p>
    <w:p w14:paraId="32A48774" w14:textId="77777777" w:rsidR="00F47CB8" w:rsidRDefault="00F47CB8" w:rsidP="00F47CB8">
      <w:pPr>
        <w:pStyle w:val="Heading5"/>
        <w:spacing w:line="360" w:lineRule="auto"/>
        <w:jc w:val="both"/>
      </w:pPr>
      <w:bookmarkStart w:id="227" w:name="_Toc62221524"/>
      <w:r>
        <w:t>SDG 7.3. Energy efficiency</w:t>
      </w:r>
      <w:bookmarkEnd w:id="227"/>
    </w:p>
    <w:p w14:paraId="6CED434E" w14:textId="77777777" w:rsidR="00F47CB8" w:rsidRDefault="00F47CB8" w:rsidP="00F47CB8">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14:paraId="653C0331" w14:textId="77777777" w:rsidR="00F47CB8" w:rsidRDefault="00F47CB8" w:rsidP="00F47CB8">
      <w:pPr>
        <w:numPr>
          <w:ilvl w:val="0"/>
          <w:numId w:val="41"/>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4A535261"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798C3C6F"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13F76F6E"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14:paraId="167A813E"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14:paraId="74BCD66D"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0B7B0890"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0A04449F"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14:paraId="60C9461A"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24933215"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14:paraId="3DF512EA"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14:paraId="7DE37930"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1AAD3301"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018A7DEA"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2"/>
      </w:r>
      <w:r>
        <w:rPr>
          <w:rFonts w:ascii="Arial" w:eastAsia="Arial" w:hAnsi="Arial" w:cs="Arial"/>
          <w:color w:val="000000"/>
          <w:sz w:val="20"/>
          <w:szCs w:val="20"/>
        </w:rPr>
        <w:t xml:space="preserve"> of passenger buses to electric buses by 2030, saving 55 million barrels of oil equivalent (BOE) annually;</w:t>
      </w:r>
    </w:p>
    <w:p w14:paraId="390D379A"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4B1ACE43"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3"/>
      </w:r>
      <w:r>
        <w:rPr>
          <w:rFonts w:ascii="Arial" w:eastAsia="Arial" w:hAnsi="Arial" w:cs="Arial"/>
          <w:color w:val="000000"/>
          <w:sz w:val="20"/>
          <w:szCs w:val="20"/>
        </w:rPr>
        <w:t xml:space="preserve"> of passenger cars to electric cars by 2030, saving 24 million BOE annually;</w:t>
      </w:r>
    </w:p>
    <w:p w14:paraId="5E67B1EF" w14:textId="77777777" w:rsidR="00F47CB8" w:rsidRDefault="00F47CB8" w:rsidP="00F47CB8">
      <w:pPr>
        <w:numPr>
          <w:ilvl w:val="0"/>
          <w:numId w:val="41"/>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4B22169C" w14:textId="77777777" w:rsidR="00F47CB8" w:rsidRDefault="00F47CB8" w:rsidP="00F47CB8">
      <w:pPr>
        <w:numPr>
          <w:ilvl w:val="0"/>
          <w:numId w:val="41"/>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14:paraId="25E693DB" w14:textId="77777777" w:rsidR="00F47CB8" w:rsidRDefault="00F47CB8" w:rsidP="00F47CB8">
      <w:pPr>
        <w:pStyle w:val="Heading5"/>
        <w:spacing w:line="360" w:lineRule="auto"/>
        <w:jc w:val="both"/>
      </w:pPr>
      <w:bookmarkStart w:id="228" w:name="_Toc62221525"/>
      <w:r>
        <w:lastRenderedPageBreak/>
        <w:t>NDC conditional target</w:t>
      </w:r>
      <w:bookmarkEnd w:id="228"/>
    </w:p>
    <w:p w14:paraId="19C2ECA3"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Indonesia has committed to reducing GHG emissions in the energy sector to 14% conditionally (with international aid) below the BAU scenario. Achievement of the conditional target will require the 2030 emissions to drop to 757 MtCO2-e compared with the 2030 BAU emissions of 878 MtCO2-e.</w:t>
      </w:r>
    </w:p>
    <w:p w14:paraId="65FCE5E8" w14:textId="77777777" w:rsidR="00F47CB8" w:rsidRDefault="00F47CB8" w:rsidP="00F47CB8">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497 MtCO2-e, a drop of 383 MtCO2-e compared to the baseline. This will be achieved by:</w:t>
      </w:r>
    </w:p>
    <w:p w14:paraId="320CD411" w14:textId="77777777" w:rsidR="00F47CB8" w:rsidRDefault="00F47CB8" w:rsidP="00F47CB8">
      <w:pPr>
        <w:numPr>
          <w:ilvl w:val="0"/>
          <w:numId w:val="10"/>
        </w:numPr>
        <w:pBdr>
          <w:top w:val="nil"/>
          <w:left w:val="nil"/>
          <w:bottom w:val="nil"/>
          <w:right w:val="nil"/>
          <w:between w:val="nil"/>
        </w:pBdr>
        <w:spacing w:after="0" w:line="360" w:lineRule="auto"/>
        <w:ind w:left="756" w:hanging="140"/>
        <w:jc w:val="both"/>
        <w:rPr>
          <w:color w:val="000000"/>
          <w:sz w:val="20"/>
          <w:szCs w:val="20"/>
        </w:rPr>
      </w:pPr>
      <w:r>
        <w:rPr>
          <w:rFonts w:ascii="Arial" w:eastAsia="Arial" w:hAnsi="Arial" w:cs="Arial"/>
          <w:color w:val="000000"/>
          <w:sz w:val="20"/>
          <w:szCs w:val="20"/>
        </w:rPr>
        <w:t>Reducing the consumption emissions by 83 MtCO2-e. This will largely be achieved by implementing energy efficiency measures and fuel switching in the transport sector;</w:t>
      </w:r>
    </w:p>
    <w:p w14:paraId="31306166" w14:textId="77777777" w:rsidR="00F47CB8" w:rsidRDefault="00F47CB8" w:rsidP="00F47CB8">
      <w:pPr>
        <w:numPr>
          <w:ilvl w:val="0"/>
          <w:numId w:val="10"/>
        </w:numPr>
        <w:pBdr>
          <w:top w:val="nil"/>
          <w:left w:val="nil"/>
          <w:bottom w:val="nil"/>
          <w:right w:val="nil"/>
          <w:between w:val="nil"/>
        </w:pBdr>
        <w:spacing w:line="360" w:lineRule="auto"/>
        <w:ind w:left="742" w:hanging="154"/>
        <w:jc w:val="both"/>
        <w:rPr>
          <w:color w:val="000000"/>
          <w:sz w:val="20"/>
          <w:szCs w:val="20"/>
        </w:rPr>
      </w:pPr>
      <w:r>
        <w:rPr>
          <w:rFonts w:ascii="Arial" w:eastAsia="Arial" w:hAnsi="Arial" w:cs="Arial"/>
          <w:color w:val="000000"/>
          <w:sz w:val="20"/>
          <w:szCs w:val="20"/>
        </w:rPr>
        <w:t xml:space="preserve">Reducing the electricity generation emissions by 300 MtCO2-e. This will be achieved by changing the fuel mix in the power sector. </w:t>
      </w:r>
    </w:p>
    <w:p w14:paraId="08D19BCC" w14:textId="77777777" w:rsidR="00F47CB8" w:rsidRDefault="00F47CB8" w:rsidP="00F47CB8">
      <w:pPr>
        <w:pStyle w:val="Heading5"/>
        <w:spacing w:line="360" w:lineRule="auto"/>
        <w:jc w:val="both"/>
      </w:pPr>
      <w:bookmarkStart w:id="229" w:name="_Toc62221526"/>
      <w:r>
        <w:t>Investment required: IDR 2,555 (US$ 180 billion)</w:t>
      </w:r>
      <w:bookmarkEnd w:id="229"/>
    </w:p>
    <w:p w14:paraId="6C529F5F" w14:textId="77777777" w:rsidR="00F47CB8" w:rsidRDefault="00F47CB8" w:rsidP="00F47CB8">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2,555 trillion (US$ 180 billion) by 2030. This includes costs of:</w:t>
      </w:r>
    </w:p>
    <w:p w14:paraId="38B8FD8B" w14:textId="77777777" w:rsidR="00F47CB8" w:rsidRDefault="00F47CB8" w:rsidP="00F47CB8">
      <w:pPr>
        <w:numPr>
          <w:ilvl w:val="0"/>
          <w:numId w:val="31"/>
        </w:numPr>
        <w:pBdr>
          <w:top w:val="nil"/>
          <w:left w:val="nil"/>
          <w:bottom w:val="nil"/>
          <w:right w:val="nil"/>
          <w:between w:val="nil"/>
        </w:pBdr>
        <w:spacing w:after="0" w:line="360" w:lineRule="auto"/>
        <w:ind w:hanging="132"/>
        <w:jc w:val="both"/>
        <w:rPr>
          <w:color w:val="000000"/>
          <w:sz w:val="20"/>
          <w:szCs w:val="20"/>
        </w:rPr>
      </w:pPr>
      <w:r>
        <w:rPr>
          <w:rFonts w:ascii="Arial" w:eastAsia="Arial" w:hAnsi="Arial" w:cs="Arial"/>
          <w:color w:val="000000"/>
          <w:sz w:val="20"/>
          <w:szCs w:val="20"/>
        </w:rPr>
        <w:t>IDR 16.6 trillion (US$ 1.17 billion) to achieve access to electricity;</w:t>
      </w:r>
    </w:p>
    <w:p w14:paraId="2BE3850E" w14:textId="77777777" w:rsidR="00F47CB8" w:rsidRDefault="00F47CB8" w:rsidP="00F47CB8">
      <w:pPr>
        <w:numPr>
          <w:ilvl w:val="0"/>
          <w:numId w:val="31"/>
        </w:numPr>
        <w:pBdr>
          <w:top w:val="nil"/>
          <w:left w:val="nil"/>
          <w:bottom w:val="nil"/>
          <w:right w:val="nil"/>
          <w:between w:val="nil"/>
        </w:pBdr>
        <w:spacing w:after="0" w:line="360" w:lineRule="auto"/>
        <w:ind w:hanging="132"/>
        <w:jc w:val="both"/>
        <w:rPr>
          <w:color w:val="000000"/>
          <w:sz w:val="20"/>
          <w:szCs w:val="20"/>
        </w:rPr>
      </w:pPr>
      <w:r>
        <w:rPr>
          <w:rFonts w:ascii="Arial" w:eastAsia="Arial" w:hAnsi="Arial" w:cs="Arial"/>
          <w:color w:val="000000"/>
          <w:sz w:val="20"/>
          <w:szCs w:val="20"/>
        </w:rPr>
        <w:t>IDR 9.77 trillion (US$ 0.68 billion) to achieve access to clean cooking fuel;</w:t>
      </w:r>
    </w:p>
    <w:p w14:paraId="52742F78" w14:textId="4E4DF013" w:rsidR="00F47CB8" w:rsidRPr="00F47CB8" w:rsidRDefault="00F47CB8" w:rsidP="00F47CB8">
      <w:pPr>
        <w:numPr>
          <w:ilvl w:val="0"/>
          <w:numId w:val="31"/>
        </w:numPr>
        <w:pBdr>
          <w:top w:val="nil"/>
          <w:left w:val="nil"/>
          <w:bottom w:val="nil"/>
          <w:right w:val="nil"/>
          <w:between w:val="nil"/>
        </w:pBdr>
        <w:spacing w:line="360" w:lineRule="auto"/>
        <w:ind w:hanging="132"/>
        <w:jc w:val="both"/>
        <w:rPr>
          <w:color w:val="000000"/>
          <w:sz w:val="20"/>
          <w:szCs w:val="20"/>
        </w:rPr>
      </w:pPr>
      <w:r>
        <w:rPr>
          <w:rFonts w:ascii="Arial" w:eastAsia="Arial" w:hAnsi="Arial" w:cs="Arial"/>
          <w:color w:val="000000"/>
          <w:sz w:val="20"/>
          <w:szCs w:val="20"/>
        </w:rPr>
        <w:t>IDR 2,529 trillion (US$ 178 billion) to change the fuel mix in the power sector.</w:t>
      </w:r>
    </w:p>
    <w:p w14:paraId="5E387AD7" w14:textId="77777777" w:rsidR="00F47CB8" w:rsidRDefault="00F47CB8" w:rsidP="00F47CB8">
      <w:pPr>
        <w:pStyle w:val="Heading5"/>
      </w:pPr>
      <w:bookmarkStart w:id="230" w:name="_Toc62221527"/>
      <w:r w:rsidRPr="00A25A8E">
        <w:t>Total net benefits from the power sector</w:t>
      </w:r>
      <w:bookmarkEnd w:id="230"/>
    </w:p>
    <w:p w14:paraId="315A23D6" w14:textId="26D03406"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4,490 trillion (US$ 316 billion), more than IDR 1,194 trillion (US$ 84 billion) higher compared with the current policy scenario. This is because of the higher running fuel and O&amp;M costs of fossil fuel-based power plant lifetime costs.</w:t>
      </w:r>
    </w:p>
    <w:p w14:paraId="7221CB40" w14:textId="77777777" w:rsidR="00F47CB8" w:rsidRDefault="00F47CB8" w:rsidP="00F47CB8">
      <w:pPr>
        <w:pStyle w:val="Heading5"/>
        <w:spacing w:line="360" w:lineRule="auto"/>
        <w:jc w:val="both"/>
      </w:pPr>
      <w:bookmarkStart w:id="231" w:name="_Toc62221528"/>
      <w:r>
        <w:t>Coal lock-in</w:t>
      </w:r>
      <w:bookmarkEnd w:id="231"/>
    </w:p>
    <w:p w14:paraId="157F3DBB" w14:textId="77777777" w:rsidR="00F47CB8" w:rsidRDefault="00F47CB8" w:rsidP="00F47CB8">
      <w:pPr>
        <w:spacing w:line="360" w:lineRule="auto"/>
        <w:jc w:val="both"/>
        <w:rPr>
          <w:rFonts w:ascii="Arial" w:hAnsi="Arial" w:cs="Arial"/>
          <w:sz w:val="20"/>
          <w:szCs w:val="20"/>
        </w:rPr>
      </w:pPr>
      <w:r w:rsidRPr="00124073">
        <w:rPr>
          <w:rFonts w:ascii="Arial" w:hAnsi="Arial" w:cs="Arial"/>
          <w:sz w:val="20"/>
          <w:szCs w:val="20"/>
        </w:rPr>
        <w:t xml:space="preserve">Coal-fired power plant capacity addition will be </w:t>
      </w:r>
      <w:r>
        <w:rPr>
          <w:rFonts w:ascii="Arial" w:hAnsi="Arial" w:cs="Arial"/>
          <w:sz w:val="20"/>
          <w:szCs w:val="20"/>
        </w:rPr>
        <w:t>eliminated</w:t>
      </w:r>
      <w:r w:rsidRPr="00124073">
        <w:rPr>
          <w:rFonts w:ascii="Arial" w:hAnsi="Arial" w:cs="Arial"/>
          <w:sz w:val="20"/>
          <w:szCs w:val="20"/>
        </w:rPr>
        <w:t xml:space="preserve">, compared to </w:t>
      </w:r>
      <w:r>
        <w:rPr>
          <w:rFonts w:ascii="Arial" w:hAnsi="Arial" w:cs="Arial"/>
          <w:sz w:val="20"/>
          <w:szCs w:val="20"/>
        </w:rPr>
        <w:t>27</w:t>
      </w:r>
      <w:r w:rsidRPr="00124073">
        <w:rPr>
          <w:rFonts w:ascii="Arial" w:hAnsi="Arial" w:cs="Arial"/>
          <w:sz w:val="20"/>
          <w:szCs w:val="20"/>
        </w:rPr>
        <w:t>GW capacity addition planned.</w:t>
      </w:r>
    </w:p>
    <w:p w14:paraId="386C6959" w14:textId="77777777" w:rsidR="00A031A6" w:rsidRDefault="00916FD0">
      <w:pPr>
        <w:pStyle w:val="Heading5"/>
        <w:spacing w:line="360" w:lineRule="auto"/>
        <w:jc w:val="both"/>
      </w:pPr>
      <w:bookmarkStart w:id="232" w:name="_Toc62221529"/>
      <w:r>
        <w:t>Fossil fuel subsidy reform</w:t>
      </w:r>
      <w:bookmarkEnd w:id="232"/>
    </w:p>
    <w:p w14:paraId="3212424A"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fossil fuel subsidies in this scenario, saving the Government of Indonesia IDR 51.15 trillion (US$ 3.6 billion) per year. Indonesia consumer side fossil fuel subsidies are made up of three main items:</w:t>
      </w:r>
    </w:p>
    <w:p w14:paraId="0185EB40" w14:textId="77777777" w:rsidR="00A031A6" w:rsidRDefault="00916FD0">
      <w:pPr>
        <w:numPr>
          <w:ilvl w:val="0"/>
          <w:numId w:val="37"/>
        </w:numPr>
        <w:pBdr>
          <w:top w:val="nil"/>
          <w:left w:val="nil"/>
          <w:bottom w:val="nil"/>
          <w:right w:val="nil"/>
          <w:between w:val="nil"/>
        </w:pBdr>
        <w:spacing w:after="0" w:line="360" w:lineRule="auto"/>
        <w:ind w:hanging="170"/>
        <w:jc w:val="both"/>
        <w:rPr>
          <w:color w:val="000000"/>
          <w:sz w:val="20"/>
          <w:szCs w:val="20"/>
        </w:rPr>
      </w:pPr>
      <w:r>
        <w:rPr>
          <w:rFonts w:ascii="Arial" w:eastAsia="Arial" w:hAnsi="Arial" w:cs="Arial"/>
          <w:color w:val="000000"/>
          <w:sz w:val="20"/>
          <w:szCs w:val="20"/>
        </w:rPr>
        <w:t xml:space="preserve">A 3-kg LPG subsidy – transition to electric stoves for poor and vulnerable households; </w:t>
      </w:r>
    </w:p>
    <w:p w14:paraId="099EABFA" w14:textId="77777777" w:rsidR="00A031A6" w:rsidRDefault="00916FD0">
      <w:pPr>
        <w:numPr>
          <w:ilvl w:val="0"/>
          <w:numId w:val="37"/>
        </w:numPr>
        <w:pBdr>
          <w:top w:val="nil"/>
          <w:left w:val="nil"/>
          <w:bottom w:val="nil"/>
          <w:right w:val="nil"/>
          <w:between w:val="nil"/>
        </w:pBdr>
        <w:spacing w:after="0" w:line="360" w:lineRule="auto"/>
        <w:ind w:left="742" w:hanging="126"/>
        <w:jc w:val="both"/>
        <w:rPr>
          <w:color w:val="000000"/>
          <w:sz w:val="20"/>
          <w:szCs w:val="20"/>
        </w:rPr>
      </w:pPr>
      <w:r>
        <w:rPr>
          <w:rFonts w:ascii="Arial" w:eastAsia="Arial" w:hAnsi="Arial" w:cs="Arial"/>
          <w:color w:val="000000"/>
          <w:sz w:val="20"/>
          <w:szCs w:val="20"/>
        </w:rPr>
        <w:t>Kerosene subsidy – transition to electric cooking stoves;</w:t>
      </w:r>
    </w:p>
    <w:p w14:paraId="2738525E" w14:textId="77777777" w:rsidR="00A031A6" w:rsidRDefault="00916FD0">
      <w:pPr>
        <w:numPr>
          <w:ilvl w:val="0"/>
          <w:numId w:val="37"/>
        </w:numPr>
        <w:pBdr>
          <w:top w:val="nil"/>
          <w:left w:val="nil"/>
          <w:bottom w:val="nil"/>
          <w:right w:val="nil"/>
          <w:between w:val="nil"/>
        </w:pBdr>
        <w:spacing w:line="360" w:lineRule="auto"/>
        <w:ind w:hanging="197"/>
        <w:jc w:val="both"/>
        <w:rPr>
          <w:color w:val="000000"/>
          <w:sz w:val="20"/>
          <w:szCs w:val="20"/>
        </w:rPr>
      </w:pPr>
      <w:r>
        <w:rPr>
          <w:rFonts w:ascii="Arial" w:eastAsia="Arial" w:hAnsi="Arial" w:cs="Arial"/>
          <w:color w:val="000000"/>
          <w:sz w:val="20"/>
          <w:szCs w:val="20"/>
        </w:rPr>
        <w:t>Diesel subsidy – transition to electric buses and electric passenger taxis.</w:t>
      </w:r>
    </w:p>
    <w:p w14:paraId="36BC9623" w14:textId="77777777" w:rsidR="00A031A6" w:rsidRDefault="00916FD0">
      <w:pPr>
        <w:pStyle w:val="Heading5"/>
        <w:spacing w:line="360" w:lineRule="auto"/>
        <w:jc w:val="both"/>
      </w:pPr>
      <w:bookmarkStart w:id="233" w:name="_Toc62221530"/>
      <w:r>
        <w:t>Price on carbon</w:t>
      </w:r>
      <w:bookmarkEnd w:id="233"/>
      <w:r>
        <w:t xml:space="preserve"> </w:t>
      </w:r>
    </w:p>
    <w:p w14:paraId="7BD87E76" w14:textId="2F13F04D"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scenario analyses the implementation of a carbon taxation policy of IDR 213,450 (US$ 15) per ton of CO</w:t>
      </w:r>
      <w:r>
        <w:rPr>
          <w:rFonts w:ascii="Arial" w:eastAsia="Arial" w:hAnsi="Arial" w:cs="Arial"/>
          <w:sz w:val="20"/>
          <w:szCs w:val="20"/>
          <w:vertAlign w:val="subscript"/>
        </w:rPr>
        <w:t>2</w:t>
      </w:r>
      <w:r>
        <w:rPr>
          <w:rFonts w:ascii="Arial" w:eastAsia="Arial" w:hAnsi="Arial" w:cs="Arial"/>
          <w:sz w:val="20"/>
          <w:szCs w:val="20"/>
        </w:rPr>
        <w:t xml:space="preserve"> emissions. Externalities are currently estimated to cost the broader community IDR 327 trillion (US$ 23 billion) by 2030.</w:t>
      </w:r>
    </w:p>
    <w:p w14:paraId="4EA2FA7A" w14:textId="77777777" w:rsidR="00F47CB8" w:rsidRDefault="00F47CB8" w:rsidP="00F47CB8">
      <w:pPr>
        <w:pStyle w:val="Heading5"/>
      </w:pPr>
      <w:bookmarkStart w:id="234" w:name="_Toc62221531"/>
      <w:r>
        <w:lastRenderedPageBreak/>
        <w:t>Energy balance</w:t>
      </w:r>
      <w:bookmarkEnd w:id="234"/>
    </w:p>
    <w:p w14:paraId="0CBCCD3B" w14:textId="77777777" w:rsidR="00A031A6" w:rsidRDefault="00916FD0">
      <w:pPr>
        <w:pStyle w:val="Heading4"/>
        <w:pBdr>
          <w:bottom w:val="single" w:sz="12" w:space="1" w:color="000000"/>
        </w:pBdr>
      </w:pPr>
      <w:bookmarkStart w:id="235" w:name="_Toc62221532"/>
      <w:r>
        <w:t>Reduced fossil fuel subsidy with high carbon price</w:t>
      </w:r>
      <w:bookmarkEnd w:id="235"/>
    </w:p>
    <w:p w14:paraId="0F052C65" w14:textId="77777777" w:rsidR="00F47CB8" w:rsidRDefault="00F47CB8" w:rsidP="00F47CB8">
      <w:pPr>
        <w:pStyle w:val="Heading5"/>
        <w:spacing w:line="360" w:lineRule="auto"/>
        <w:jc w:val="both"/>
      </w:pPr>
      <w:bookmarkStart w:id="236" w:name="_Toc62221533"/>
      <w:r>
        <w:t>Scenario description</w:t>
      </w:r>
      <w:bookmarkEnd w:id="236"/>
    </w:p>
    <w:p w14:paraId="6D930563" w14:textId="77777777" w:rsidR="00F47CB8" w:rsidRPr="00D12625" w:rsidRDefault="00F47CB8" w:rsidP="00F47CB8">
      <w:pPr>
        <w:spacing w:line="360" w:lineRule="auto"/>
        <w:jc w:val="both"/>
        <w:rPr>
          <w:rFonts w:ascii="Arial" w:hAnsi="Arial" w:cs="Arial"/>
          <w:sz w:val="20"/>
          <w:szCs w:val="20"/>
        </w:rPr>
      </w:pPr>
      <w:r w:rsidRPr="00D12625">
        <w:rPr>
          <w:rFonts w:ascii="Arial" w:hAnsi="Arial" w:cs="Arial"/>
          <w:sz w:val="20"/>
          <w:szCs w:val="20"/>
        </w:rPr>
        <w:t xml:space="preserve">This scenario looks at raising ambition beyond SDG 7. Energy efficiency is strengthened further to go beyond SDG 7.3 target and the optimum share of renewable energy is estimated using the NDC conditional target as the constraint, together with least-cost optimization for the power sector. The fossil fuel subsidy is removed from the consumer side and a carbon price </w:t>
      </w:r>
      <w:r>
        <w:rPr>
          <w:rFonts w:ascii="Arial" w:hAnsi="Arial" w:cs="Arial"/>
          <w:sz w:val="20"/>
          <w:szCs w:val="20"/>
        </w:rPr>
        <w:t xml:space="preserve">of </w:t>
      </w:r>
      <w:r w:rsidRPr="006666F6">
        <w:rPr>
          <w:rFonts w:ascii="Arial" w:hAnsi="Arial" w:cs="Arial"/>
          <w:sz w:val="20"/>
          <w:szCs w:val="20"/>
        </w:rPr>
        <w:t>IDR 426,300 (</w:t>
      </w:r>
      <w:r>
        <w:rPr>
          <w:rFonts w:ascii="Arial" w:hAnsi="Arial" w:cs="Arial"/>
          <w:sz w:val="20"/>
          <w:szCs w:val="20"/>
        </w:rPr>
        <w:t>US$</w:t>
      </w:r>
      <w:r w:rsidRPr="00F12B67">
        <w:rPr>
          <w:rFonts w:ascii="Arial" w:hAnsi="Arial" w:cs="Arial"/>
          <w:sz w:val="20"/>
          <w:szCs w:val="20"/>
        </w:rPr>
        <w:t>30</w:t>
      </w:r>
      <w:r>
        <w:rPr>
          <w:rFonts w:ascii="Arial" w:hAnsi="Arial" w:cs="Arial"/>
          <w:sz w:val="20"/>
          <w:szCs w:val="20"/>
        </w:rPr>
        <w:t xml:space="preserve">) </w:t>
      </w:r>
      <w:r w:rsidRPr="00D12625">
        <w:rPr>
          <w:rFonts w:ascii="Arial" w:hAnsi="Arial" w:cs="Arial"/>
          <w:sz w:val="20"/>
          <w:szCs w:val="20"/>
        </w:rPr>
        <w:t>per ton is introduced</w:t>
      </w:r>
      <w:r>
        <w:rPr>
          <w:rFonts w:ascii="Arial" w:hAnsi="Arial" w:cs="Arial"/>
          <w:sz w:val="20"/>
          <w:szCs w:val="20"/>
        </w:rPr>
        <w:t>.</w:t>
      </w:r>
    </w:p>
    <w:p w14:paraId="052C5C8F" w14:textId="77777777" w:rsidR="00F47CB8" w:rsidRPr="00672401" w:rsidRDefault="00F47CB8" w:rsidP="00F47CB8">
      <w:pPr>
        <w:pStyle w:val="Heading5"/>
        <w:spacing w:line="360" w:lineRule="auto"/>
        <w:jc w:val="both"/>
        <w:rPr>
          <w:b w:val="0"/>
        </w:rPr>
      </w:pPr>
      <w:bookmarkStart w:id="237" w:name="_Toc62221534"/>
      <w:r>
        <w:t>SDG 7.1.1. Universal access to electricity</w:t>
      </w:r>
      <w:bookmarkEnd w:id="237"/>
    </w:p>
    <w:p w14:paraId="11E7808A"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793AF683" w14:textId="77777777" w:rsidR="00F47CB8" w:rsidRDefault="00F47CB8" w:rsidP="00F47CB8">
      <w:pPr>
        <w:pStyle w:val="Heading5"/>
        <w:spacing w:line="360" w:lineRule="auto"/>
        <w:jc w:val="both"/>
      </w:pPr>
      <w:bookmarkStart w:id="238" w:name="_Toc62221535"/>
      <w:r>
        <w:t>SDG 7.1.2. Universal access to clean cooking</w:t>
      </w:r>
      <w:bookmarkEnd w:id="238"/>
    </w:p>
    <w:p w14:paraId="660FEB43"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0BC143EF"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1057CC18" w14:textId="77777777" w:rsidR="00F47CB8" w:rsidRDefault="00F47CB8" w:rsidP="00F47CB8">
      <w:pPr>
        <w:pStyle w:val="Heading5"/>
        <w:spacing w:line="360" w:lineRule="auto"/>
        <w:jc w:val="both"/>
      </w:pPr>
      <w:bookmarkStart w:id="239" w:name="_Toc62221536"/>
      <w:r>
        <w:t>SDG 7.2. Renewable energy</w:t>
      </w:r>
      <w:bookmarkEnd w:id="239"/>
    </w:p>
    <w:p w14:paraId="133D64E7" w14:textId="78A685AE"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27.1% by 2030, which is the optimum share to ensure the achievement of other SDG 7 targets and the NDC constraints. Renewable energy generation is projected to increase significantly and contribute 82% of the total electricity generation in 2030, led by growth in hydropower, geothermal and solar power technologies. </w:t>
      </w:r>
    </w:p>
    <w:p w14:paraId="35549D87" w14:textId="77777777" w:rsidR="00F47CB8" w:rsidRDefault="00F47CB8" w:rsidP="00F47CB8">
      <w:pPr>
        <w:pStyle w:val="Heading5"/>
        <w:spacing w:line="360" w:lineRule="auto"/>
        <w:jc w:val="both"/>
      </w:pPr>
      <w:bookmarkStart w:id="240" w:name="_Toc62221537"/>
      <w:r>
        <w:t>SDG 7.3. Energy efficiency</w:t>
      </w:r>
      <w:bookmarkEnd w:id="240"/>
    </w:p>
    <w:p w14:paraId="0A2C12F2" w14:textId="77777777" w:rsidR="00F47CB8" w:rsidRDefault="00F47CB8" w:rsidP="00F47CB8">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14:paraId="57DF8BA7" w14:textId="77777777" w:rsidR="00F47CB8" w:rsidRDefault="00F47CB8" w:rsidP="00F47CB8">
      <w:pPr>
        <w:numPr>
          <w:ilvl w:val="0"/>
          <w:numId w:val="42"/>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35FD7949"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5822A369"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43E3CE55"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lastRenderedPageBreak/>
        <w:t>Introduce MEPS for all new lights from 2022 onwards in order to reduce CFL 14W to LED 5W, saving 6 million BOE annually;</w:t>
      </w:r>
    </w:p>
    <w:p w14:paraId="156F6EE5"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14:paraId="6EFDFCC3"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20D6C02D"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69973139"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14:paraId="68483E5B"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368D236B"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14:paraId="5F948B19"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14:paraId="60A92602"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5423F218"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020B549F"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4"/>
      </w:r>
      <w:r>
        <w:rPr>
          <w:rFonts w:ascii="Arial" w:eastAsia="Arial" w:hAnsi="Arial" w:cs="Arial"/>
          <w:color w:val="000000"/>
          <w:sz w:val="20"/>
          <w:szCs w:val="20"/>
        </w:rPr>
        <w:t xml:space="preserve"> of passenger buses to electric buses by 2030, saving 55 million barrels of oil equivalent (BOE) annually;</w:t>
      </w:r>
    </w:p>
    <w:p w14:paraId="07B9F955"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049EF3BF"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5"/>
      </w:r>
      <w:r>
        <w:rPr>
          <w:rFonts w:ascii="Arial" w:eastAsia="Arial" w:hAnsi="Arial" w:cs="Arial"/>
          <w:color w:val="000000"/>
          <w:sz w:val="20"/>
          <w:szCs w:val="20"/>
        </w:rPr>
        <w:t xml:space="preserve"> of passenger cars to electric cars by 2030, saving 24 million BOE annually;</w:t>
      </w:r>
    </w:p>
    <w:p w14:paraId="60F9A3E4" w14:textId="77777777" w:rsidR="00F47CB8" w:rsidRDefault="00F47CB8" w:rsidP="00F47CB8">
      <w:pPr>
        <w:numPr>
          <w:ilvl w:val="0"/>
          <w:numId w:val="42"/>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641157A4" w14:textId="77777777" w:rsidR="00F47CB8" w:rsidRDefault="00F47CB8" w:rsidP="00F47CB8">
      <w:pPr>
        <w:numPr>
          <w:ilvl w:val="0"/>
          <w:numId w:val="42"/>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14:paraId="75333F6A" w14:textId="77777777" w:rsidR="00F47CB8" w:rsidRDefault="00F47CB8" w:rsidP="00F47CB8">
      <w:pPr>
        <w:pStyle w:val="Heading5"/>
        <w:spacing w:line="360" w:lineRule="auto"/>
        <w:jc w:val="both"/>
      </w:pPr>
      <w:bookmarkStart w:id="241" w:name="_Toc62221538"/>
      <w:r>
        <w:t>NDC conditional target</w:t>
      </w:r>
      <w:bookmarkEnd w:id="241"/>
    </w:p>
    <w:p w14:paraId="4A14C436" w14:textId="77777777"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Indonesia has committed to reducing GHG emissions in the energy sector to 14% conditionally (with international aid) below the BAU scenario. Achievement of the conditional target will require the 2030 emissions to drop to 757 MtCO2-e compared with the 2030 BAU emissions of 880 MtCO2-e.</w:t>
      </w:r>
    </w:p>
    <w:p w14:paraId="19B82B74" w14:textId="77777777" w:rsidR="00F47CB8" w:rsidRDefault="00F47CB8" w:rsidP="00F47CB8">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439 MtCO2-e, a drop of 441 MtCO2-e compared to the baseline. This will be achieved by:</w:t>
      </w:r>
    </w:p>
    <w:p w14:paraId="4967C0D4" w14:textId="77777777" w:rsidR="00F47CB8" w:rsidRDefault="00F47CB8" w:rsidP="00F47CB8">
      <w:pPr>
        <w:numPr>
          <w:ilvl w:val="0"/>
          <w:numId w:val="16"/>
        </w:numPr>
        <w:pBdr>
          <w:top w:val="nil"/>
          <w:left w:val="nil"/>
          <w:bottom w:val="nil"/>
          <w:right w:val="nil"/>
          <w:between w:val="nil"/>
        </w:pBdr>
        <w:spacing w:after="0" w:line="360" w:lineRule="auto"/>
        <w:ind w:hanging="132"/>
        <w:jc w:val="both"/>
        <w:rPr>
          <w:color w:val="000000"/>
          <w:sz w:val="20"/>
          <w:szCs w:val="20"/>
        </w:rPr>
      </w:pPr>
      <w:r>
        <w:rPr>
          <w:rFonts w:ascii="Arial" w:eastAsia="Arial" w:hAnsi="Arial" w:cs="Arial"/>
          <w:color w:val="000000"/>
          <w:sz w:val="20"/>
          <w:szCs w:val="20"/>
        </w:rPr>
        <w:t>Reducing the consumption emissions by 83 MtCO2-e. This will largely be achieved by implementing energy efficiency measures and fuel switching in the transport sector;</w:t>
      </w:r>
    </w:p>
    <w:p w14:paraId="2C5D6DFE" w14:textId="77777777" w:rsidR="00F47CB8" w:rsidRDefault="00F47CB8" w:rsidP="00F47CB8">
      <w:pPr>
        <w:numPr>
          <w:ilvl w:val="0"/>
          <w:numId w:val="16"/>
        </w:numPr>
        <w:pBdr>
          <w:top w:val="nil"/>
          <w:left w:val="nil"/>
          <w:bottom w:val="nil"/>
          <w:right w:val="nil"/>
          <w:between w:val="nil"/>
        </w:pBdr>
        <w:spacing w:line="360" w:lineRule="auto"/>
        <w:ind w:hanging="146"/>
        <w:jc w:val="both"/>
        <w:rPr>
          <w:color w:val="000000"/>
          <w:sz w:val="20"/>
          <w:szCs w:val="20"/>
        </w:rPr>
      </w:pPr>
      <w:r>
        <w:rPr>
          <w:rFonts w:ascii="Arial" w:eastAsia="Arial" w:hAnsi="Arial" w:cs="Arial"/>
          <w:color w:val="000000"/>
          <w:sz w:val="20"/>
          <w:szCs w:val="20"/>
        </w:rPr>
        <w:t xml:space="preserve">Reducing the electricity generation emissions by 359 MtCO2-e. This will be achieved by changing the fuel mix in the power sector. </w:t>
      </w:r>
    </w:p>
    <w:p w14:paraId="6C9EA60A" w14:textId="77777777" w:rsidR="00F47CB8" w:rsidRDefault="00F47CB8" w:rsidP="00F47CB8">
      <w:pPr>
        <w:pStyle w:val="Heading5"/>
        <w:spacing w:line="360" w:lineRule="auto"/>
        <w:jc w:val="both"/>
      </w:pPr>
      <w:bookmarkStart w:id="242" w:name="_Toc62221539"/>
      <w:r>
        <w:lastRenderedPageBreak/>
        <w:t>Investment required: IDR 3,010 trillion (US$ 212 billion).</w:t>
      </w:r>
      <w:bookmarkEnd w:id="242"/>
    </w:p>
    <w:p w14:paraId="1D54BDF4" w14:textId="77777777" w:rsidR="00F47CB8" w:rsidRDefault="00F47CB8" w:rsidP="00F47CB8">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3,010 trillion (US$ 212 billion) by 2030. This includes costs of:</w:t>
      </w:r>
    </w:p>
    <w:p w14:paraId="5707F7E8" w14:textId="77777777" w:rsidR="00F47CB8" w:rsidRDefault="00F47CB8" w:rsidP="00F47CB8">
      <w:pPr>
        <w:numPr>
          <w:ilvl w:val="0"/>
          <w:numId w:val="22"/>
        </w:numPr>
        <w:pBdr>
          <w:top w:val="nil"/>
          <w:left w:val="nil"/>
          <w:bottom w:val="nil"/>
          <w:right w:val="nil"/>
          <w:between w:val="nil"/>
        </w:pBdr>
        <w:spacing w:after="0" w:line="360" w:lineRule="auto"/>
        <w:ind w:firstLine="65"/>
        <w:jc w:val="both"/>
        <w:rPr>
          <w:color w:val="000000"/>
          <w:sz w:val="20"/>
          <w:szCs w:val="20"/>
        </w:rPr>
      </w:pPr>
      <w:r>
        <w:rPr>
          <w:rFonts w:ascii="Arial" w:eastAsia="Arial" w:hAnsi="Arial" w:cs="Arial"/>
          <w:color w:val="000000"/>
          <w:sz w:val="20"/>
          <w:szCs w:val="20"/>
        </w:rPr>
        <w:t>IDR 16.6 trillion (US$ 1.17 billion) to achieve access to electricity;</w:t>
      </w:r>
    </w:p>
    <w:p w14:paraId="67BE56F2" w14:textId="77777777" w:rsidR="00F47CB8" w:rsidRDefault="00F47CB8" w:rsidP="00F47CB8">
      <w:pPr>
        <w:numPr>
          <w:ilvl w:val="0"/>
          <w:numId w:val="22"/>
        </w:numPr>
        <w:pBdr>
          <w:top w:val="nil"/>
          <w:left w:val="nil"/>
          <w:bottom w:val="nil"/>
          <w:right w:val="nil"/>
          <w:between w:val="nil"/>
        </w:pBdr>
        <w:spacing w:after="0" w:line="360" w:lineRule="auto"/>
        <w:ind w:firstLine="72"/>
        <w:jc w:val="both"/>
        <w:rPr>
          <w:color w:val="000000"/>
          <w:sz w:val="20"/>
          <w:szCs w:val="20"/>
        </w:rPr>
      </w:pPr>
      <w:r>
        <w:rPr>
          <w:rFonts w:ascii="Arial" w:eastAsia="Arial" w:hAnsi="Arial" w:cs="Arial"/>
          <w:color w:val="000000"/>
          <w:sz w:val="20"/>
          <w:szCs w:val="20"/>
        </w:rPr>
        <w:t>IDR 9.77 trillion (US$ 0.68 billion) to achieve access to clean cooking fuel;</w:t>
      </w:r>
    </w:p>
    <w:p w14:paraId="0C1A6FB0" w14:textId="77777777" w:rsidR="00F47CB8" w:rsidRDefault="00F47CB8" w:rsidP="00F47CB8">
      <w:pPr>
        <w:numPr>
          <w:ilvl w:val="0"/>
          <w:numId w:val="22"/>
        </w:numPr>
        <w:pBdr>
          <w:top w:val="nil"/>
          <w:left w:val="nil"/>
          <w:bottom w:val="nil"/>
          <w:right w:val="nil"/>
          <w:between w:val="nil"/>
        </w:pBdr>
        <w:spacing w:line="360" w:lineRule="auto"/>
        <w:ind w:firstLine="57"/>
        <w:jc w:val="both"/>
        <w:rPr>
          <w:color w:val="000000"/>
          <w:sz w:val="20"/>
          <w:szCs w:val="20"/>
        </w:rPr>
      </w:pPr>
      <w:r>
        <w:rPr>
          <w:rFonts w:ascii="Arial" w:eastAsia="Arial" w:hAnsi="Arial" w:cs="Arial"/>
          <w:color w:val="000000"/>
          <w:sz w:val="20"/>
          <w:szCs w:val="20"/>
        </w:rPr>
        <w:t>IDR 2,984 trillion (US$ 210 billion) to change the fuel mix in the power sector.</w:t>
      </w:r>
    </w:p>
    <w:p w14:paraId="0CC5EB08" w14:textId="77777777" w:rsidR="00F47CB8" w:rsidRDefault="00F47CB8" w:rsidP="00F47CB8">
      <w:pPr>
        <w:pStyle w:val="Heading5"/>
      </w:pPr>
      <w:bookmarkStart w:id="243" w:name="_Toc62221540"/>
      <w:r w:rsidRPr="00A25A8E">
        <w:t>Total net benefits from the power sector</w:t>
      </w:r>
      <w:bookmarkEnd w:id="243"/>
    </w:p>
    <w:p w14:paraId="1FD64502" w14:textId="079A6DE1" w:rsidR="00F47CB8" w:rsidRDefault="00F47CB8" w:rsidP="00F47CB8">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w:t>
      </w:r>
      <w:r w:rsidR="00887A44">
        <w:rPr>
          <w:rFonts w:ascii="Arial" w:eastAsia="Arial" w:hAnsi="Arial" w:cs="Arial"/>
          <w:sz w:val="20"/>
          <w:szCs w:val="20"/>
        </w:rPr>
        <w:t>325</w:t>
      </w:r>
      <w:r>
        <w:rPr>
          <w:rFonts w:ascii="Arial" w:eastAsia="Arial" w:hAnsi="Arial" w:cs="Arial"/>
          <w:sz w:val="20"/>
          <w:szCs w:val="20"/>
        </w:rPr>
        <w:t xml:space="preserve"> trillion (US$ </w:t>
      </w:r>
      <w:r w:rsidR="00887A44">
        <w:rPr>
          <w:rFonts w:ascii="Arial" w:eastAsia="Arial" w:hAnsi="Arial" w:cs="Arial"/>
          <w:sz w:val="20"/>
          <w:szCs w:val="20"/>
        </w:rPr>
        <w:t>294</w:t>
      </w:r>
      <w:r>
        <w:rPr>
          <w:rFonts w:ascii="Arial" w:eastAsia="Arial" w:hAnsi="Arial" w:cs="Arial"/>
          <w:sz w:val="20"/>
          <w:szCs w:val="20"/>
        </w:rPr>
        <w:t xml:space="preserve"> billion), more than IDR </w:t>
      </w:r>
      <w:r w:rsidR="00887A44">
        <w:rPr>
          <w:rFonts w:ascii="Arial" w:eastAsia="Arial" w:hAnsi="Arial" w:cs="Arial"/>
          <w:sz w:val="20"/>
          <w:szCs w:val="20"/>
        </w:rPr>
        <w:t>912</w:t>
      </w:r>
      <w:r>
        <w:rPr>
          <w:rFonts w:ascii="Arial" w:eastAsia="Arial" w:hAnsi="Arial" w:cs="Arial"/>
          <w:sz w:val="20"/>
          <w:szCs w:val="20"/>
        </w:rPr>
        <w:t xml:space="preserve"> </w:t>
      </w:r>
      <w:r w:rsidR="00887A44">
        <w:rPr>
          <w:rFonts w:ascii="Arial" w:eastAsia="Arial" w:hAnsi="Arial" w:cs="Arial"/>
          <w:sz w:val="20"/>
          <w:szCs w:val="20"/>
        </w:rPr>
        <w:t>b</w:t>
      </w:r>
      <w:r>
        <w:rPr>
          <w:rFonts w:ascii="Arial" w:eastAsia="Arial" w:hAnsi="Arial" w:cs="Arial"/>
          <w:sz w:val="20"/>
          <w:szCs w:val="20"/>
        </w:rPr>
        <w:t xml:space="preserve">illion (US$ </w:t>
      </w:r>
      <w:r w:rsidR="00887A44">
        <w:rPr>
          <w:rFonts w:ascii="Arial" w:eastAsia="Arial" w:hAnsi="Arial" w:cs="Arial"/>
          <w:sz w:val="20"/>
          <w:szCs w:val="20"/>
        </w:rPr>
        <w:t>62</w:t>
      </w:r>
      <w:r>
        <w:rPr>
          <w:rFonts w:ascii="Arial" w:eastAsia="Arial" w:hAnsi="Arial" w:cs="Arial"/>
          <w:sz w:val="20"/>
          <w:szCs w:val="20"/>
        </w:rPr>
        <w:t xml:space="preserve"> billion) higher compared with the current policy scenario. This is because of the higher running fuel and O&amp;M costs of fossil fuel-based power plant lifetime costs.</w:t>
      </w:r>
    </w:p>
    <w:p w14:paraId="2D475B3F" w14:textId="77777777" w:rsidR="00887A44" w:rsidRDefault="00887A44" w:rsidP="00887A44">
      <w:pPr>
        <w:pStyle w:val="Heading5"/>
        <w:spacing w:line="360" w:lineRule="auto"/>
        <w:jc w:val="both"/>
      </w:pPr>
      <w:bookmarkStart w:id="244" w:name="_Toc62221541"/>
      <w:r>
        <w:t>Coal lock-in</w:t>
      </w:r>
      <w:bookmarkEnd w:id="244"/>
    </w:p>
    <w:p w14:paraId="258459F4" w14:textId="77777777" w:rsidR="00887A44" w:rsidRDefault="00887A44" w:rsidP="00887A44">
      <w:pPr>
        <w:spacing w:line="360" w:lineRule="auto"/>
        <w:jc w:val="both"/>
        <w:rPr>
          <w:rFonts w:ascii="Arial" w:hAnsi="Arial" w:cs="Arial"/>
          <w:sz w:val="20"/>
          <w:szCs w:val="20"/>
        </w:rPr>
      </w:pPr>
      <w:r w:rsidRPr="00124073">
        <w:rPr>
          <w:rFonts w:ascii="Arial" w:hAnsi="Arial" w:cs="Arial"/>
          <w:sz w:val="20"/>
          <w:szCs w:val="20"/>
        </w:rPr>
        <w:t xml:space="preserve">Coal-fired power plant capacity addition will be </w:t>
      </w:r>
      <w:r>
        <w:rPr>
          <w:rFonts w:ascii="Arial" w:hAnsi="Arial" w:cs="Arial"/>
          <w:sz w:val="20"/>
          <w:szCs w:val="20"/>
        </w:rPr>
        <w:t>eliminated</w:t>
      </w:r>
      <w:r w:rsidRPr="00124073">
        <w:rPr>
          <w:rFonts w:ascii="Arial" w:hAnsi="Arial" w:cs="Arial"/>
          <w:sz w:val="20"/>
          <w:szCs w:val="20"/>
        </w:rPr>
        <w:t xml:space="preserve">, compared to </w:t>
      </w:r>
      <w:r>
        <w:rPr>
          <w:rFonts w:ascii="Arial" w:hAnsi="Arial" w:cs="Arial"/>
          <w:sz w:val="20"/>
          <w:szCs w:val="20"/>
        </w:rPr>
        <w:t>27</w:t>
      </w:r>
      <w:r w:rsidRPr="00124073">
        <w:rPr>
          <w:rFonts w:ascii="Arial" w:hAnsi="Arial" w:cs="Arial"/>
          <w:sz w:val="20"/>
          <w:szCs w:val="20"/>
        </w:rPr>
        <w:t>GW capacity addition planned.</w:t>
      </w:r>
    </w:p>
    <w:p w14:paraId="421A119F" w14:textId="30D4877B" w:rsidR="00A031A6" w:rsidRDefault="00916FD0">
      <w:pPr>
        <w:pStyle w:val="Heading5"/>
        <w:spacing w:line="360" w:lineRule="auto"/>
        <w:jc w:val="both"/>
      </w:pPr>
      <w:bookmarkStart w:id="245" w:name="_Toc62221542"/>
      <w:r>
        <w:t>Fossil Fuel subsidy reform</w:t>
      </w:r>
      <w:bookmarkEnd w:id="245"/>
    </w:p>
    <w:p w14:paraId="7D22DBA5"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fossil fuel subsidies in this scenario, saving the Government of Indonesia IDR 51.15 trillion (US$ 3.6 billion) per year. Indonesia consumer side fossil fuel subsidies are made up of three main items:</w:t>
      </w:r>
    </w:p>
    <w:p w14:paraId="3D5155CF" w14:textId="77777777" w:rsidR="00A031A6" w:rsidRDefault="00916FD0">
      <w:pPr>
        <w:numPr>
          <w:ilvl w:val="0"/>
          <w:numId w:val="8"/>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 xml:space="preserve">A 3-kg LPG subsidy – transition to electric stoves for poor and vulnerable households; </w:t>
      </w:r>
    </w:p>
    <w:p w14:paraId="7455AC41" w14:textId="77777777" w:rsidR="00A031A6" w:rsidRDefault="00916FD0">
      <w:pPr>
        <w:numPr>
          <w:ilvl w:val="0"/>
          <w:numId w:val="8"/>
        </w:numPr>
        <w:pBdr>
          <w:top w:val="nil"/>
          <w:left w:val="nil"/>
          <w:bottom w:val="nil"/>
          <w:right w:val="nil"/>
          <w:between w:val="nil"/>
        </w:pBdr>
        <w:spacing w:after="0" w:line="360" w:lineRule="auto"/>
        <w:ind w:hanging="117"/>
        <w:jc w:val="both"/>
        <w:rPr>
          <w:color w:val="000000"/>
          <w:sz w:val="20"/>
          <w:szCs w:val="20"/>
        </w:rPr>
      </w:pPr>
      <w:r>
        <w:rPr>
          <w:rFonts w:ascii="Arial" w:eastAsia="Arial" w:hAnsi="Arial" w:cs="Arial"/>
          <w:color w:val="000000"/>
          <w:sz w:val="20"/>
          <w:szCs w:val="20"/>
        </w:rPr>
        <w:t>Kerosene subsidy – transition to electric cooking stoves;</w:t>
      </w:r>
    </w:p>
    <w:p w14:paraId="15BE3373" w14:textId="77777777" w:rsidR="00A031A6" w:rsidRDefault="00916FD0">
      <w:pPr>
        <w:numPr>
          <w:ilvl w:val="0"/>
          <w:numId w:val="8"/>
        </w:numPr>
        <w:pBdr>
          <w:top w:val="nil"/>
          <w:left w:val="nil"/>
          <w:bottom w:val="nil"/>
          <w:right w:val="nil"/>
          <w:between w:val="nil"/>
        </w:pBdr>
        <w:spacing w:line="360" w:lineRule="auto"/>
        <w:ind w:left="588" w:firstLine="0"/>
        <w:jc w:val="both"/>
        <w:rPr>
          <w:color w:val="000000"/>
          <w:sz w:val="20"/>
          <w:szCs w:val="20"/>
        </w:rPr>
      </w:pPr>
      <w:r>
        <w:rPr>
          <w:rFonts w:ascii="Arial" w:eastAsia="Arial" w:hAnsi="Arial" w:cs="Arial"/>
          <w:color w:val="000000"/>
          <w:sz w:val="20"/>
          <w:szCs w:val="20"/>
        </w:rPr>
        <w:t xml:space="preserve"> Diesel subsidy – transition to electric buses and electric passenger taxis.</w:t>
      </w:r>
    </w:p>
    <w:p w14:paraId="3CC883BE" w14:textId="77777777" w:rsidR="00A031A6" w:rsidRDefault="00916FD0">
      <w:pPr>
        <w:pStyle w:val="Heading5"/>
        <w:spacing w:line="360" w:lineRule="auto"/>
        <w:jc w:val="both"/>
      </w:pPr>
      <w:bookmarkStart w:id="246" w:name="_Toc62221543"/>
      <w:r>
        <w:t>Price on carbon</w:t>
      </w:r>
      <w:bookmarkEnd w:id="246"/>
      <w:r>
        <w:t xml:space="preserve"> </w:t>
      </w:r>
    </w:p>
    <w:p w14:paraId="7372D601" w14:textId="0E95AD30"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scenario analyses the implementation of a carbon taxation policy of IDR 426,300 (US$ 30) per ton of CO</w:t>
      </w:r>
      <w:r>
        <w:rPr>
          <w:rFonts w:ascii="Arial" w:eastAsia="Arial" w:hAnsi="Arial" w:cs="Arial"/>
          <w:sz w:val="20"/>
          <w:szCs w:val="20"/>
          <w:vertAlign w:val="subscript"/>
        </w:rPr>
        <w:t xml:space="preserve">2 </w:t>
      </w:r>
      <w:r>
        <w:rPr>
          <w:rFonts w:ascii="Arial" w:eastAsia="Arial" w:hAnsi="Arial" w:cs="Arial"/>
          <w:sz w:val="20"/>
          <w:szCs w:val="20"/>
        </w:rPr>
        <w:t>emissions.  Externalities are currently estimated to cost the broader community IDR 426 trillion (US$ 30 billion) by 2030.</w:t>
      </w:r>
    </w:p>
    <w:p w14:paraId="1F21CEA0" w14:textId="1F07A26D" w:rsidR="00887A44" w:rsidRDefault="00887A44" w:rsidP="00887A44">
      <w:pPr>
        <w:pStyle w:val="Heading5"/>
      </w:pPr>
      <w:bookmarkStart w:id="247" w:name="_Toc62221544"/>
      <w:r>
        <w:t>Energy balance</w:t>
      </w:r>
      <w:bookmarkEnd w:id="247"/>
    </w:p>
    <w:p w14:paraId="33FE96B1" w14:textId="77777777" w:rsidR="00A031A6" w:rsidRDefault="00916FD0">
      <w:pPr>
        <w:pStyle w:val="Heading4"/>
        <w:pBdr>
          <w:bottom w:val="single" w:sz="12" w:space="1" w:color="000000"/>
        </w:pBdr>
      </w:pPr>
      <w:bookmarkStart w:id="248" w:name="_Toc62221545"/>
      <w:r>
        <w:t>Enhancing NDC with reduced coal and fossil fuel subsidy</w:t>
      </w:r>
      <w:bookmarkEnd w:id="248"/>
    </w:p>
    <w:p w14:paraId="763EE6B4" w14:textId="77777777" w:rsidR="00887A44" w:rsidRDefault="00887A44" w:rsidP="00887A44">
      <w:pPr>
        <w:pStyle w:val="Heading5"/>
        <w:spacing w:line="360" w:lineRule="auto"/>
        <w:jc w:val="both"/>
      </w:pPr>
      <w:bookmarkStart w:id="249" w:name="_Toc62221546"/>
      <w:r>
        <w:t>Scenario description</w:t>
      </w:r>
      <w:bookmarkEnd w:id="249"/>
    </w:p>
    <w:p w14:paraId="1CAF9948" w14:textId="77777777" w:rsidR="00887A44" w:rsidRDefault="00887A44" w:rsidP="00887A44">
      <w:pPr>
        <w:spacing w:line="360" w:lineRule="auto"/>
        <w:jc w:val="both"/>
        <w:rPr>
          <w:rFonts w:ascii="Arial" w:hAnsi="Arial" w:cs="Arial"/>
          <w:sz w:val="20"/>
          <w:szCs w:val="20"/>
        </w:rPr>
      </w:pPr>
      <w:r w:rsidRPr="004673CA">
        <w:rPr>
          <w:rFonts w:ascii="Arial" w:hAnsi="Arial" w:cs="Arial"/>
          <w:sz w:val="20"/>
          <w:szCs w:val="20"/>
        </w:rPr>
        <w:t>This scenario looks at raising ambition beyond SDG 7. Energy efficiency is strengthened further to go beyond SDG 7.3 target and the optimum share of renewable energy is estimated using the NDC conditional target as the constraint, together with least-cost optimization for the power sector. The fossil fuel subsidy is completely phased out and a carbon price of IDR 426,300 (US$30) per ton is introduced</w:t>
      </w:r>
      <w:r w:rsidRPr="004673CA">
        <w:rPr>
          <w:rFonts w:ascii="Arial" w:hAnsi="Arial" w:cs="Arial"/>
          <w:color w:val="000000" w:themeColor="text1"/>
          <w:sz w:val="20"/>
          <w:szCs w:val="20"/>
        </w:rPr>
        <w:t>. In addition, coal is phased out from the power sector, with no new coal power plants after 2020 and the gradual decommissioning of the existing ones by 2030</w:t>
      </w:r>
      <w:r>
        <w:rPr>
          <w:rFonts w:ascii="Arial" w:hAnsi="Arial" w:cs="Arial"/>
          <w:color w:val="000000" w:themeColor="text1"/>
          <w:sz w:val="20"/>
          <w:szCs w:val="20"/>
        </w:rPr>
        <w:t>.</w:t>
      </w:r>
    </w:p>
    <w:p w14:paraId="44EA30C4" w14:textId="77777777" w:rsidR="00887A44" w:rsidRPr="00672401" w:rsidRDefault="00887A44" w:rsidP="00887A44">
      <w:pPr>
        <w:pStyle w:val="Heading5"/>
        <w:spacing w:line="360" w:lineRule="auto"/>
        <w:jc w:val="both"/>
        <w:rPr>
          <w:b w:val="0"/>
        </w:rPr>
      </w:pPr>
      <w:bookmarkStart w:id="250" w:name="_Toc62221547"/>
      <w:r>
        <w:lastRenderedPageBreak/>
        <w:t>SDG 7.1.1. Universal access to electricity</w:t>
      </w:r>
      <w:bookmarkEnd w:id="250"/>
    </w:p>
    <w:p w14:paraId="675DB328" w14:textId="77777777" w:rsidR="00887A44" w:rsidRDefault="00887A44" w:rsidP="00887A44">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10AEEB36" w14:textId="77777777" w:rsidR="00887A44" w:rsidRDefault="00887A44" w:rsidP="00887A44">
      <w:pPr>
        <w:pStyle w:val="Heading5"/>
        <w:spacing w:line="360" w:lineRule="auto"/>
        <w:jc w:val="both"/>
      </w:pPr>
      <w:bookmarkStart w:id="251" w:name="_Toc62221548"/>
      <w:r>
        <w:t>SDG 7.1.2. Universal access to clean cooking</w:t>
      </w:r>
      <w:bookmarkEnd w:id="251"/>
    </w:p>
    <w:p w14:paraId="21823CC1" w14:textId="77777777" w:rsidR="00887A44" w:rsidRDefault="00887A44" w:rsidP="00887A44">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1C616C31" w14:textId="77777777" w:rsidR="00887A44" w:rsidRDefault="00887A44" w:rsidP="00887A44">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48E7DDD7" w14:textId="450CB8FF" w:rsidR="00A031A6" w:rsidRDefault="00916FD0">
      <w:pPr>
        <w:pStyle w:val="Heading5"/>
        <w:spacing w:line="360" w:lineRule="auto"/>
        <w:jc w:val="both"/>
      </w:pPr>
      <w:bookmarkStart w:id="252" w:name="_Toc62221549"/>
      <w:r>
        <w:t>SDG 7.2. Renewable energy</w:t>
      </w:r>
      <w:bookmarkEnd w:id="252"/>
    </w:p>
    <w:p w14:paraId="02365D45" w14:textId="0A2901A6"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28.6% by 2030, which is the optimum share to ensure the achievement of other SDG 7 targets and the NDC constraints. Renewable energy generation is projected to increase significantly and contribute 88% of the total electricity generation in 2030, led by growth in hydropower, geothermal and solar power technologies. </w:t>
      </w:r>
    </w:p>
    <w:p w14:paraId="68D52771" w14:textId="77777777" w:rsidR="00887A44" w:rsidRDefault="00887A44" w:rsidP="00887A44">
      <w:pPr>
        <w:pStyle w:val="Heading5"/>
        <w:spacing w:line="360" w:lineRule="auto"/>
        <w:jc w:val="both"/>
      </w:pPr>
      <w:bookmarkStart w:id="253" w:name="_Toc62221550"/>
      <w:r>
        <w:t>SDG 7.3. Energy efficiency</w:t>
      </w:r>
      <w:bookmarkEnd w:id="253"/>
    </w:p>
    <w:p w14:paraId="54571515" w14:textId="77777777" w:rsidR="00887A44" w:rsidRDefault="00887A44" w:rsidP="00887A44">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14:paraId="2BD0AA36" w14:textId="77777777" w:rsidR="00887A44" w:rsidRDefault="00887A44" w:rsidP="00887A44">
      <w:pPr>
        <w:numPr>
          <w:ilvl w:val="0"/>
          <w:numId w:val="43"/>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7F1E9C73"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5464E8E1"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3E46D861"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14:paraId="3EE7D682"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14:paraId="5F1D07D3"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77C2183E"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6C29069F"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14:paraId="7CEFE497"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1A21652D"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lastRenderedPageBreak/>
        <w:t>Regenerative burners (30 per cent energy saving) for the iron and steel industry, saving 16 million BOE annually;</w:t>
      </w:r>
    </w:p>
    <w:p w14:paraId="0E332D9E"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14:paraId="5C69B7B3"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5EB93BCC"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0337DEEC" w14:textId="71BC25B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 of passenger buses to electric buses by 2030, saving 55 million barrels of oil equivalent (BOE) annually;</w:t>
      </w:r>
    </w:p>
    <w:p w14:paraId="116FC719"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0835C8E1" w14:textId="59FFDEE1"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 of passenger cars to electric cars by 2030, saving 24 million BOE annually;</w:t>
      </w:r>
    </w:p>
    <w:p w14:paraId="12680C19" w14:textId="77777777" w:rsidR="00887A44" w:rsidRDefault="00887A44" w:rsidP="00887A44">
      <w:pPr>
        <w:numPr>
          <w:ilvl w:val="0"/>
          <w:numId w:val="43"/>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3CA4E2F0" w14:textId="77777777" w:rsidR="00887A44" w:rsidRDefault="00887A44" w:rsidP="00887A44">
      <w:pPr>
        <w:numPr>
          <w:ilvl w:val="0"/>
          <w:numId w:val="43"/>
        </w:numPr>
        <w:pBdr>
          <w:top w:val="nil"/>
          <w:left w:val="nil"/>
          <w:bottom w:val="nil"/>
          <w:right w:val="nil"/>
          <w:between w:val="nil"/>
        </w:pBdr>
        <w:spacing w:line="360" w:lineRule="auto"/>
        <w:ind w:hanging="360"/>
        <w:jc w:val="both"/>
        <w:rPr>
          <w:color w:val="000000"/>
          <w:sz w:val="20"/>
          <w:szCs w:val="20"/>
        </w:rPr>
      </w:pPr>
      <w:r>
        <w:rPr>
          <w:rFonts w:ascii="Arial" w:eastAsia="Arial" w:hAnsi="Arial" w:cs="Arial"/>
          <w:color w:val="000000"/>
          <w:sz w:val="20"/>
          <w:szCs w:val="20"/>
        </w:rPr>
        <w:t>Improving Energy Efficiency Standards in government buildings 10 per cent by 2030; saving 0.3 million BOE annually;</w:t>
      </w:r>
    </w:p>
    <w:p w14:paraId="11DDDB60" w14:textId="77777777" w:rsidR="00887A44" w:rsidRDefault="00887A44" w:rsidP="00887A44">
      <w:pPr>
        <w:pStyle w:val="Heading5"/>
        <w:spacing w:line="360" w:lineRule="auto"/>
        <w:jc w:val="both"/>
      </w:pPr>
      <w:bookmarkStart w:id="254" w:name="_Toc62221551"/>
      <w:r>
        <w:t>Enhancing NDC</w:t>
      </w:r>
      <w:bookmarkEnd w:id="254"/>
    </w:p>
    <w:p w14:paraId="0735B670" w14:textId="77777777" w:rsidR="00887A44" w:rsidRDefault="00887A44" w:rsidP="00887A44">
      <w:pPr>
        <w:spacing w:line="360" w:lineRule="auto"/>
        <w:jc w:val="both"/>
        <w:rPr>
          <w:rFonts w:ascii="Arial" w:eastAsia="Arial" w:hAnsi="Arial" w:cs="Arial"/>
          <w:sz w:val="20"/>
          <w:szCs w:val="20"/>
        </w:rPr>
      </w:pPr>
      <w:r>
        <w:rPr>
          <w:rFonts w:ascii="Arial" w:eastAsia="Arial" w:hAnsi="Arial" w:cs="Arial"/>
          <w:sz w:val="20"/>
          <w:szCs w:val="20"/>
        </w:rPr>
        <w:t>Based on key global benchmarks for the Paris Agreement 1.5°C compatible pathways, a rapid decline of GHG and CO</w:t>
      </w:r>
      <w:r>
        <w:rPr>
          <w:rFonts w:ascii="Arial" w:eastAsia="Arial" w:hAnsi="Arial" w:cs="Arial"/>
          <w:sz w:val="20"/>
          <w:szCs w:val="20"/>
          <w:vertAlign w:val="subscript"/>
        </w:rPr>
        <w:t>2</w:t>
      </w:r>
      <w:r>
        <w:rPr>
          <w:rFonts w:ascii="Arial" w:eastAsia="Arial" w:hAnsi="Arial" w:cs="Arial"/>
          <w:sz w:val="20"/>
          <w:szCs w:val="20"/>
        </w:rPr>
        <w:t xml:space="preserve"> emissions by 45% compared with 2010 levels is to be achieved by 2030. Indonesia can increase its aim in the energy sector to reduce emissions by 18% compared with BAU. Achievement of the ambitious target will require the 2030 emissions to drop to 722 MtCO2-e compared with the 2030 BAU emissions of 880 MtCO2-e.</w:t>
      </w:r>
    </w:p>
    <w:p w14:paraId="32A4A1E2" w14:textId="77777777" w:rsidR="00887A44" w:rsidRDefault="00887A44" w:rsidP="00887A44">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408 MtCO2-e, a drop of 472 MtCO2-e compared to the baseline. This will be achieved by:</w:t>
      </w:r>
    </w:p>
    <w:p w14:paraId="70E3219B" w14:textId="77777777" w:rsidR="00887A44" w:rsidRDefault="00887A44" w:rsidP="00887A44">
      <w:pPr>
        <w:numPr>
          <w:ilvl w:val="0"/>
          <w:numId w:val="18"/>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Reducing the consumption emissions by 83 MtCO2-e. This is largely achieved by implementing energy efficiency measures and fuel switching in the transport sector;</w:t>
      </w:r>
    </w:p>
    <w:p w14:paraId="548D3496" w14:textId="77777777" w:rsidR="00887A44" w:rsidRDefault="00887A44" w:rsidP="00887A44">
      <w:pPr>
        <w:numPr>
          <w:ilvl w:val="0"/>
          <w:numId w:val="18"/>
        </w:numPr>
        <w:pBdr>
          <w:top w:val="nil"/>
          <w:left w:val="nil"/>
          <w:bottom w:val="nil"/>
          <w:right w:val="nil"/>
          <w:between w:val="nil"/>
        </w:pBdr>
        <w:spacing w:line="360" w:lineRule="auto"/>
        <w:ind w:hanging="160"/>
        <w:jc w:val="both"/>
        <w:rPr>
          <w:color w:val="000000"/>
          <w:sz w:val="20"/>
          <w:szCs w:val="20"/>
        </w:rPr>
      </w:pPr>
      <w:r>
        <w:rPr>
          <w:rFonts w:ascii="Arial" w:eastAsia="Arial" w:hAnsi="Arial" w:cs="Arial"/>
          <w:color w:val="000000"/>
          <w:sz w:val="20"/>
          <w:szCs w:val="20"/>
        </w:rPr>
        <w:t xml:space="preserve">Reducing the electricity generation emissions by 390 MtCO2-e. This is achieved by changing the fuel mix in the power sector. </w:t>
      </w:r>
    </w:p>
    <w:p w14:paraId="1C4AD80A" w14:textId="77777777" w:rsidR="00887A44" w:rsidRDefault="00887A44" w:rsidP="00887A44">
      <w:pPr>
        <w:pStyle w:val="Heading5"/>
        <w:spacing w:line="360" w:lineRule="auto"/>
        <w:jc w:val="both"/>
      </w:pPr>
      <w:bookmarkStart w:id="255" w:name="_Toc62221552"/>
      <w:r>
        <w:t>Investment required: IDR 3,309 trillion (US$ 232 billion)</w:t>
      </w:r>
      <w:bookmarkEnd w:id="255"/>
    </w:p>
    <w:p w14:paraId="7E4EB299" w14:textId="77777777" w:rsidR="00887A44" w:rsidRDefault="00887A44" w:rsidP="00887A44">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3,309 trillion (US$ 232 billion) by 2030. This includes costs of:</w:t>
      </w:r>
    </w:p>
    <w:p w14:paraId="2C2695EA" w14:textId="77777777" w:rsidR="00887A44" w:rsidRDefault="00887A44" w:rsidP="00887A44">
      <w:pPr>
        <w:numPr>
          <w:ilvl w:val="0"/>
          <w:numId w:val="23"/>
        </w:numPr>
        <w:pBdr>
          <w:top w:val="nil"/>
          <w:left w:val="nil"/>
          <w:bottom w:val="nil"/>
          <w:right w:val="nil"/>
          <w:between w:val="nil"/>
        </w:pBdr>
        <w:spacing w:after="0" w:line="360" w:lineRule="auto"/>
        <w:ind w:left="756" w:hanging="196"/>
        <w:jc w:val="both"/>
        <w:rPr>
          <w:color w:val="000000"/>
          <w:sz w:val="20"/>
          <w:szCs w:val="20"/>
        </w:rPr>
      </w:pPr>
      <w:r>
        <w:rPr>
          <w:rFonts w:ascii="Arial" w:eastAsia="Arial" w:hAnsi="Arial" w:cs="Arial"/>
          <w:color w:val="000000"/>
          <w:sz w:val="20"/>
          <w:szCs w:val="20"/>
        </w:rPr>
        <w:t>IDR 16.6 trillion (US$ 1.17 billion) to achieve access to electricity;</w:t>
      </w:r>
    </w:p>
    <w:p w14:paraId="5F51EF13" w14:textId="77777777" w:rsidR="00887A44" w:rsidRDefault="00887A44" w:rsidP="00887A44">
      <w:pPr>
        <w:numPr>
          <w:ilvl w:val="0"/>
          <w:numId w:val="23"/>
        </w:numPr>
        <w:pBdr>
          <w:top w:val="nil"/>
          <w:left w:val="nil"/>
          <w:bottom w:val="nil"/>
          <w:right w:val="nil"/>
          <w:between w:val="nil"/>
        </w:pBdr>
        <w:spacing w:after="0" w:line="360" w:lineRule="auto"/>
        <w:ind w:left="742" w:hanging="167"/>
        <w:jc w:val="both"/>
        <w:rPr>
          <w:color w:val="000000"/>
          <w:sz w:val="20"/>
          <w:szCs w:val="20"/>
        </w:rPr>
      </w:pPr>
      <w:r>
        <w:rPr>
          <w:rFonts w:ascii="Arial" w:eastAsia="Arial" w:hAnsi="Arial" w:cs="Arial"/>
          <w:color w:val="000000"/>
          <w:sz w:val="20"/>
          <w:szCs w:val="20"/>
        </w:rPr>
        <w:t>IDR 9.77 trillion (US$ 0.68 billion) to achieve access to clean cooking fuel;</w:t>
      </w:r>
    </w:p>
    <w:p w14:paraId="654D872A" w14:textId="19134521" w:rsidR="00887A44" w:rsidRPr="00887A44" w:rsidRDefault="00887A44" w:rsidP="00887A44">
      <w:pPr>
        <w:numPr>
          <w:ilvl w:val="0"/>
          <w:numId w:val="23"/>
        </w:numPr>
        <w:pBdr>
          <w:top w:val="nil"/>
          <w:left w:val="nil"/>
          <w:bottom w:val="nil"/>
          <w:right w:val="nil"/>
          <w:between w:val="nil"/>
        </w:pBdr>
        <w:spacing w:line="360" w:lineRule="auto"/>
        <w:ind w:left="714" w:hanging="167"/>
        <w:jc w:val="both"/>
        <w:rPr>
          <w:color w:val="000000"/>
          <w:sz w:val="20"/>
          <w:szCs w:val="20"/>
        </w:rPr>
      </w:pPr>
      <w:r>
        <w:rPr>
          <w:rFonts w:ascii="Arial" w:eastAsia="Arial" w:hAnsi="Arial" w:cs="Arial"/>
          <w:color w:val="000000"/>
          <w:sz w:val="20"/>
          <w:szCs w:val="20"/>
        </w:rPr>
        <w:t>IDR 3,283 trillion (US$ 231 billion) to change the fuel mix in the power sector.</w:t>
      </w:r>
    </w:p>
    <w:p w14:paraId="74BB9D87" w14:textId="77777777" w:rsidR="00887A44" w:rsidRDefault="00887A44" w:rsidP="00887A44">
      <w:pPr>
        <w:pStyle w:val="Heading5"/>
      </w:pPr>
      <w:bookmarkStart w:id="256" w:name="_Toc62221553"/>
      <w:r w:rsidRPr="00A25A8E">
        <w:t>Total net benefits from the power sector</w:t>
      </w:r>
      <w:bookmarkEnd w:id="256"/>
    </w:p>
    <w:p w14:paraId="19A21F8C" w14:textId="25286AAD" w:rsidR="00887A44" w:rsidRDefault="00887A44" w:rsidP="00887A44">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3,993 trillion (US$ 281 billion), more than IDR 696 trillion (US$ 49 billion) higher compared with the current policy scenario. This is because of the higher running fuel and O&amp;M costs of fossil fuel-based power plant lifetime costs.</w:t>
      </w:r>
    </w:p>
    <w:p w14:paraId="524DDD3B" w14:textId="77777777" w:rsidR="00887A44" w:rsidRDefault="00887A44" w:rsidP="00887A44">
      <w:pPr>
        <w:pStyle w:val="Heading5"/>
        <w:spacing w:line="360" w:lineRule="auto"/>
        <w:jc w:val="both"/>
      </w:pPr>
      <w:bookmarkStart w:id="257" w:name="_Toc62221554"/>
      <w:r>
        <w:lastRenderedPageBreak/>
        <w:t>Coal lock-in</w:t>
      </w:r>
      <w:bookmarkEnd w:id="257"/>
    </w:p>
    <w:p w14:paraId="102CFA20" w14:textId="2A5C4A93" w:rsidR="00887A44" w:rsidRDefault="00887A44" w:rsidP="00887A44">
      <w:pPr>
        <w:spacing w:line="360" w:lineRule="auto"/>
        <w:jc w:val="both"/>
        <w:rPr>
          <w:rFonts w:ascii="Arial" w:hAnsi="Arial" w:cs="Arial"/>
          <w:sz w:val="20"/>
          <w:szCs w:val="20"/>
        </w:rPr>
      </w:pPr>
      <w:r w:rsidRPr="00124073">
        <w:rPr>
          <w:rFonts w:ascii="Arial" w:hAnsi="Arial" w:cs="Arial"/>
          <w:sz w:val="20"/>
          <w:szCs w:val="20"/>
        </w:rPr>
        <w:t xml:space="preserve">Coal-fired power plant capacity addition will be </w:t>
      </w:r>
      <w:r>
        <w:rPr>
          <w:rFonts w:ascii="Arial" w:hAnsi="Arial" w:cs="Arial"/>
          <w:sz w:val="20"/>
          <w:szCs w:val="20"/>
        </w:rPr>
        <w:t>eliminated</w:t>
      </w:r>
      <w:r w:rsidRPr="00124073">
        <w:rPr>
          <w:rFonts w:ascii="Arial" w:hAnsi="Arial" w:cs="Arial"/>
          <w:sz w:val="20"/>
          <w:szCs w:val="20"/>
        </w:rPr>
        <w:t xml:space="preserve">, compared to </w:t>
      </w:r>
      <w:r>
        <w:rPr>
          <w:rFonts w:ascii="Arial" w:hAnsi="Arial" w:cs="Arial"/>
          <w:sz w:val="20"/>
          <w:szCs w:val="20"/>
        </w:rPr>
        <w:t>27</w:t>
      </w:r>
      <w:r w:rsidRPr="00124073">
        <w:rPr>
          <w:rFonts w:ascii="Arial" w:hAnsi="Arial" w:cs="Arial"/>
          <w:sz w:val="20"/>
          <w:szCs w:val="20"/>
        </w:rPr>
        <w:t>GW capacity addition planned.</w:t>
      </w:r>
      <w:r>
        <w:rPr>
          <w:rFonts w:ascii="Arial" w:hAnsi="Arial" w:cs="Arial"/>
          <w:sz w:val="20"/>
          <w:szCs w:val="20"/>
        </w:rPr>
        <w:t xml:space="preserve"> In addition, the existing capacity will be phased out by 2030/</w:t>
      </w:r>
    </w:p>
    <w:p w14:paraId="22BB717F" w14:textId="77777777" w:rsidR="00A031A6" w:rsidRDefault="00916FD0">
      <w:pPr>
        <w:pStyle w:val="Heading5"/>
        <w:spacing w:line="360" w:lineRule="auto"/>
        <w:jc w:val="both"/>
      </w:pPr>
      <w:bookmarkStart w:id="258" w:name="_Toc62221555"/>
      <w:r>
        <w:t>Fossil fuel subsidy reform</w:t>
      </w:r>
      <w:bookmarkEnd w:id="258"/>
    </w:p>
    <w:p w14:paraId="0BFDDFB2"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and electricity generation fossil fuel subsidies in this scenario, saving the Government of Indonesia IDR 101.18 trillion (US$ 7.12 billion) per year. Indonesia consumer side fossil fuel subsidies comprise three main items:</w:t>
      </w:r>
    </w:p>
    <w:p w14:paraId="257B58E0" w14:textId="77777777" w:rsidR="00A031A6" w:rsidRDefault="00916FD0">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A 3-kg LPG subsidy – transition to electric stoves for poor and vulnerable households;</w:t>
      </w:r>
    </w:p>
    <w:p w14:paraId="080D5F79" w14:textId="77777777" w:rsidR="00A031A6" w:rsidRDefault="00916FD0">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Kerosene subsidy – transition to electric cooking stoves;</w:t>
      </w:r>
    </w:p>
    <w:p w14:paraId="04144D1F" w14:textId="77777777" w:rsidR="00A031A6" w:rsidRDefault="00916FD0">
      <w:pPr>
        <w:numPr>
          <w:ilvl w:val="0"/>
          <w:numId w:val="33"/>
        </w:numPr>
        <w:pBdr>
          <w:top w:val="nil"/>
          <w:left w:val="nil"/>
          <w:bottom w:val="nil"/>
          <w:right w:val="nil"/>
          <w:between w:val="nil"/>
        </w:pBdr>
        <w:spacing w:line="360" w:lineRule="auto"/>
        <w:ind w:hanging="160"/>
        <w:jc w:val="both"/>
        <w:rPr>
          <w:color w:val="000000"/>
          <w:sz w:val="20"/>
          <w:szCs w:val="20"/>
        </w:rPr>
      </w:pPr>
      <w:r>
        <w:rPr>
          <w:rFonts w:ascii="Arial" w:eastAsia="Arial" w:hAnsi="Arial" w:cs="Arial"/>
          <w:color w:val="000000"/>
          <w:sz w:val="20"/>
          <w:szCs w:val="20"/>
        </w:rPr>
        <w:t>Diesel subsidy – transition to electric buses and electric passenger taxis.</w:t>
      </w:r>
    </w:p>
    <w:p w14:paraId="19DF5F87"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Indonesia electricity generation fossil fuel subsidies consist of:</w:t>
      </w:r>
    </w:p>
    <w:p w14:paraId="2960798A" w14:textId="77777777" w:rsidR="00A031A6" w:rsidRDefault="00916FD0">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Coal price cap – transition to coal price based on market price;</w:t>
      </w:r>
    </w:p>
    <w:p w14:paraId="75235F26" w14:textId="77777777" w:rsidR="00A031A6" w:rsidRDefault="00916FD0">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Natural gas price cap – transition to natural gas price based on market price;</w:t>
      </w:r>
    </w:p>
    <w:p w14:paraId="69062199" w14:textId="15DAFD5C" w:rsidR="00A031A6" w:rsidRDefault="00916FD0">
      <w:pPr>
        <w:numPr>
          <w:ilvl w:val="0"/>
          <w:numId w:val="4"/>
        </w:numPr>
        <w:pBdr>
          <w:top w:val="nil"/>
          <w:left w:val="nil"/>
          <w:bottom w:val="nil"/>
          <w:right w:val="nil"/>
          <w:between w:val="nil"/>
        </w:pBdr>
        <w:spacing w:line="360" w:lineRule="auto"/>
        <w:ind w:left="680" w:hanging="357"/>
        <w:jc w:val="both"/>
        <w:rPr>
          <w:rFonts w:ascii="Arial" w:eastAsia="Arial" w:hAnsi="Arial" w:cs="Arial"/>
          <w:color w:val="000000"/>
          <w:sz w:val="20"/>
          <w:szCs w:val="20"/>
        </w:rPr>
      </w:pPr>
      <w:r>
        <w:rPr>
          <w:rFonts w:ascii="Arial" w:eastAsia="Arial" w:hAnsi="Arial" w:cs="Arial"/>
          <w:color w:val="000000"/>
          <w:sz w:val="20"/>
          <w:szCs w:val="20"/>
        </w:rPr>
        <w:t>Indirect coal generation subsidy – tax exemptions, loan guarantees, credit lines abolished.</w:t>
      </w:r>
    </w:p>
    <w:p w14:paraId="0D365CAF" w14:textId="62192CDD" w:rsidR="00AB12A9" w:rsidRDefault="00AB12A9" w:rsidP="00AB12A9">
      <w:pPr>
        <w:pStyle w:val="Heading5"/>
      </w:pPr>
      <w:bookmarkStart w:id="259" w:name="_Toc62221556"/>
      <w:r>
        <w:t>Energy Balance</w:t>
      </w:r>
      <w:bookmarkEnd w:id="259"/>
    </w:p>
    <w:p w14:paraId="0967FA7C" w14:textId="77777777" w:rsidR="00887A44" w:rsidRDefault="00887A44" w:rsidP="00887A44">
      <w:pPr>
        <w:pBdr>
          <w:top w:val="nil"/>
          <w:left w:val="nil"/>
          <w:bottom w:val="nil"/>
          <w:right w:val="nil"/>
          <w:between w:val="nil"/>
        </w:pBdr>
        <w:spacing w:line="360" w:lineRule="auto"/>
        <w:jc w:val="both"/>
        <w:rPr>
          <w:rFonts w:ascii="Arial" w:eastAsia="Arial" w:hAnsi="Arial" w:cs="Arial"/>
          <w:color w:val="000000"/>
          <w:sz w:val="20"/>
          <w:szCs w:val="20"/>
        </w:rPr>
      </w:pPr>
    </w:p>
    <w:p w14:paraId="424097BE" w14:textId="77777777" w:rsidR="00A031A6" w:rsidRDefault="00916FD0">
      <w:pPr>
        <w:pStyle w:val="Heading4"/>
        <w:pBdr>
          <w:bottom w:val="single" w:sz="12" w:space="1" w:color="000000"/>
        </w:pBdr>
      </w:pPr>
      <w:bookmarkStart w:id="260" w:name="_Toc62221557"/>
      <w:r>
        <w:t>Enhancing NDC with phasing out NG and fossil fuel subsidy</w:t>
      </w:r>
      <w:bookmarkEnd w:id="260"/>
    </w:p>
    <w:p w14:paraId="42115B4B" w14:textId="21152078" w:rsidR="00AB12A9" w:rsidRDefault="00AB12A9" w:rsidP="00AB12A9">
      <w:pPr>
        <w:pStyle w:val="Heading5"/>
        <w:spacing w:line="360" w:lineRule="auto"/>
        <w:jc w:val="both"/>
      </w:pPr>
      <w:bookmarkStart w:id="261" w:name="_Toc62221558"/>
      <w:r>
        <w:t>Scenario description</w:t>
      </w:r>
      <w:bookmarkEnd w:id="261"/>
    </w:p>
    <w:p w14:paraId="758D7566" w14:textId="77777777" w:rsidR="00AB12A9" w:rsidRDefault="00AB12A9" w:rsidP="00AB12A9">
      <w:pPr>
        <w:spacing w:line="360" w:lineRule="auto"/>
        <w:jc w:val="both"/>
        <w:rPr>
          <w:rFonts w:ascii="Arial" w:hAnsi="Arial" w:cs="Arial"/>
          <w:sz w:val="20"/>
          <w:szCs w:val="20"/>
        </w:rPr>
      </w:pPr>
      <w:r w:rsidRPr="0008468B">
        <w:rPr>
          <w:rFonts w:ascii="Arial" w:hAnsi="Arial" w:cs="Arial"/>
          <w:sz w:val="20"/>
          <w:szCs w:val="20"/>
        </w:rPr>
        <w:t xml:space="preserve">This scenario looks at raising ambition beyond SDG 7. Energy efficiency is strengthened further to go beyond SDG 7.3 target and the optimum share of renewable energy is estimated using the NDC conditional target as the constraint, together with least-cost optimization for the power sector. The fossil fuel subsidy is </w:t>
      </w:r>
      <w:r>
        <w:rPr>
          <w:rFonts w:ascii="Arial" w:hAnsi="Arial" w:cs="Arial"/>
          <w:sz w:val="20"/>
          <w:szCs w:val="20"/>
        </w:rPr>
        <w:t xml:space="preserve">fully removed </w:t>
      </w:r>
      <w:r w:rsidRPr="0008468B">
        <w:rPr>
          <w:rFonts w:ascii="Arial" w:hAnsi="Arial" w:cs="Arial"/>
          <w:sz w:val="20"/>
          <w:szCs w:val="20"/>
        </w:rPr>
        <w:t>and a carbon price of IDR 426,300 (US$30</w:t>
      </w:r>
      <w:r>
        <w:rPr>
          <w:rFonts w:ascii="Arial" w:hAnsi="Arial" w:cs="Arial"/>
          <w:sz w:val="20"/>
          <w:szCs w:val="20"/>
        </w:rPr>
        <w:t xml:space="preserve">) </w:t>
      </w:r>
      <w:r w:rsidRPr="0008468B">
        <w:rPr>
          <w:rFonts w:ascii="Arial" w:hAnsi="Arial" w:cs="Arial"/>
          <w:sz w:val="20"/>
          <w:szCs w:val="20"/>
        </w:rPr>
        <w:t>per ton is introduced</w:t>
      </w:r>
      <w:r>
        <w:rPr>
          <w:rFonts w:ascii="Arial" w:hAnsi="Arial" w:cs="Arial"/>
          <w:sz w:val="20"/>
          <w:szCs w:val="20"/>
        </w:rPr>
        <w:t xml:space="preserve">. </w:t>
      </w:r>
      <w:r w:rsidRPr="0008468B">
        <w:rPr>
          <w:rFonts w:ascii="Arial" w:hAnsi="Arial" w:cs="Arial"/>
          <w:sz w:val="20"/>
          <w:szCs w:val="20"/>
        </w:rPr>
        <w:t xml:space="preserve">In addition, </w:t>
      </w:r>
      <w:r>
        <w:rPr>
          <w:rFonts w:ascii="Arial" w:hAnsi="Arial" w:cs="Arial"/>
          <w:sz w:val="20"/>
          <w:szCs w:val="20"/>
        </w:rPr>
        <w:t>natural gas</w:t>
      </w:r>
      <w:r w:rsidRPr="0008468B">
        <w:rPr>
          <w:rFonts w:ascii="Arial" w:hAnsi="Arial" w:cs="Arial"/>
          <w:sz w:val="20"/>
          <w:szCs w:val="20"/>
        </w:rPr>
        <w:t xml:space="preserve"> is phased out from the power sector, with no new </w:t>
      </w:r>
      <w:r>
        <w:rPr>
          <w:rFonts w:ascii="Arial" w:hAnsi="Arial" w:cs="Arial"/>
          <w:sz w:val="20"/>
          <w:szCs w:val="20"/>
        </w:rPr>
        <w:t xml:space="preserve">natural gas </w:t>
      </w:r>
      <w:r w:rsidRPr="0008468B">
        <w:rPr>
          <w:rFonts w:ascii="Arial" w:hAnsi="Arial" w:cs="Arial"/>
          <w:sz w:val="20"/>
          <w:szCs w:val="20"/>
        </w:rPr>
        <w:t>power plants after 2020 and the gradual decommissioning of the existing ones by 2030</w:t>
      </w:r>
      <w:r>
        <w:rPr>
          <w:rFonts w:ascii="Arial" w:hAnsi="Arial" w:cs="Arial"/>
          <w:sz w:val="20"/>
          <w:szCs w:val="20"/>
        </w:rPr>
        <w:t>.</w:t>
      </w:r>
    </w:p>
    <w:p w14:paraId="1D7C8F79" w14:textId="77777777" w:rsidR="00AB12A9" w:rsidRPr="00672401" w:rsidRDefault="00AB12A9" w:rsidP="00AB12A9">
      <w:pPr>
        <w:pStyle w:val="Heading5"/>
        <w:spacing w:line="360" w:lineRule="auto"/>
        <w:jc w:val="both"/>
        <w:rPr>
          <w:b w:val="0"/>
        </w:rPr>
      </w:pPr>
      <w:bookmarkStart w:id="262" w:name="_Toc62221559"/>
      <w:r>
        <w:t>SDG 7.1.1. Universal access to electricity</w:t>
      </w:r>
      <w:bookmarkEnd w:id="262"/>
    </w:p>
    <w:p w14:paraId="4E98DE50"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5995763B" w14:textId="77777777" w:rsidR="00AB12A9" w:rsidRDefault="00AB12A9" w:rsidP="00AB12A9">
      <w:pPr>
        <w:pStyle w:val="Heading5"/>
        <w:spacing w:line="360" w:lineRule="auto"/>
        <w:jc w:val="both"/>
      </w:pPr>
      <w:bookmarkStart w:id="263" w:name="_Toc62221560"/>
      <w:r>
        <w:t>SDG 7.1.2. Universal access to clean cooking</w:t>
      </w:r>
      <w:bookmarkEnd w:id="263"/>
    </w:p>
    <w:p w14:paraId="55E5A719"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664858F9"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lastRenderedPageBreak/>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430A3295" w14:textId="63F351D8" w:rsidR="00A031A6" w:rsidRDefault="00916FD0">
      <w:pPr>
        <w:pStyle w:val="Heading5"/>
        <w:spacing w:line="360" w:lineRule="auto"/>
        <w:jc w:val="both"/>
      </w:pPr>
      <w:bookmarkStart w:id="264" w:name="_Toc62221561"/>
      <w:r>
        <w:t>SDG 7.2. Renewable energy</w:t>
      </w:r>
      <w:bookmarkEnd w:id="264"/>
    </w:p>
    <w:p w14:paraId="794360C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share of renewable energy in total final energy consumption will be 28.8% by 2030, which is the optimum share for ensuring the achievement of the other SDG 7 targets and the NDC constraints. Renewable energy generation is projected to increase significantly and contribute 90% of the total electricity generation in 2030, led by growth in hydropower, geothermal and solar power technologies.</w:t>
      </w:r>
    </w:p>
    <w:p w14:paraId="279355C4" w14:textId="77777777" w:rsidR="00AB12A9" w:rsidRDefault="00AB12A9" w:rsidP="00AB12A9">
      <w:pPr>
        <w:pStyle w:val="Heading5"/>
        <w:spacing w:line="360" w:lineRule="auto"/>
        <w:jc w:val="both"/>
      </w:pPr>
      <w:bookmarkStart w:id="265" w:name="_Toc62221562"/>
      <w:r>
        <w:t>SDG 7.3. Energy efficiency</w:t>
      </w:r>
      <w:bookmarkEnd w:id="265"/>
    </w:p>
    <w:p w14:paraId="5A4E17DE" w14:textId="77777777" w:rsidR="00AB12A9" w:rsidRDefault="00AB12A9" w:rsidP="00AB12A9">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14:paraId="00F68D6C" w14:textId="77777777" w:rsidR="00AB12A9" w:rsidRDefault="00AB12A9" w:rsidP="00AB12A9">
      <w:pPr>
        <w:numPr>
          <w:ilvl w:val="0"/>
          <w:numId w:val="44"/>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0D9C1FAF"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39783FF0"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5539A47A"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14:paraId="1F67CD04"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14:paraId="6C30CD1F"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273A00B8"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773A6064"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14:paraId="1590DC75"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71663F5B"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14:paraId="7A997181"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14:paraId="6BA44DFC"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19509A96"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44471E78"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6"/>
      </w:r>
      <w:r>
        <w:rPr>
          <w:rFonts w:ascii="Arial" w:eastAsia="Arial" w:hAnsi="Arial" w:cs="Arial"/>
          <w:color w:val="000000"/>
          <w:sz w:val="20"/>
          <w:szCs w:val="20"/>
        </w:rPr>
        <w:t xml:space="preserve"> of passenger buses to electric buses by 2030, saving 55 million barrels of oil equivalent (BOE) annually;</w:t>
      </w:r>
    </w:p>
    <w:p w14:paraId="7768C159"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lastRenderedPageBreak/>
        <w:t>Improve fuel economy standards by 20 per cent for all heavy-duty vehicles from 2022 onwards, saving 36 million BOE annually;</w:t>
      </w:r>
    </w:p>
    <w:p w14:paraId="08CE78C8"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7"/>
      </w:r>
      <w:r>
        <w:rPr>
          <w:rFonts w:ascii="Arial" w:eastAsia="Arial" w:hAnsi="Arial" w:cs="Arial"/>
          <w:color w:val="000000"/>
          <w:sz w:val="20"/>
          <w:szCs w:val="20"/>
        </w:rPr>
        <w:t xml:space="preserve"> of passenger cars to electric cars by 2030, saving 24 million BOE annually;</w:t>
      </w:r>
    </w:p>
    <w:p w14:paraId="26051EE0" w14:textId="77777777" w:rsid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7B347745" w14:textId="12B43294" w:rsidR="00AB12A9" w:rsidRPr="00AB12A9" w:rsidRDefault="00AB12A9" w:rsidP="00AB12A9">
      <w:pPr>
        <w:numPr>
          <w:ilvl w:val="0"/>
          <w:numId w:val="44"/>
        </w:numPr>
        <w:pBdr>
          <w:top w:val="nil"/>
          <w:left w:val="nil"/>
          <w:bottom w:val="nil"/>
          <w:right w:val="nil"/>
          <w:between w:val="nil"/>
        </w:pBdr>
        <w:spacing w:after="0" w:line="360" w:lineRule="auto"/>
        <w:ind w:hanging="360"/>
        <w:jc w:val="both"/>
        <w:rPr>
          <w:color w:val="000000"/>
          <w:sz w:val="20"/>
          <w:szCs w:val="20"/>
        </w:rPr>
      </w:pPr>
      <w:r>
        <w:t>Improving Energy Efficiency Standards in government buildings 10 per cent by 2030; saving 0.3 million BOE annually;</w:t>
      </w:r>
    </w:p>
    <w:p w14:paraId="122385B2" w14:textId="01D8F4D0" w:rsidR="00A031A6" w:rsidRDefault="00916FD0" w:rsidP="00AB12A9">
      <w:pPr>
        <w:pStyle w:val="Heading5"/>
        <w:spacing w:line="360" w:lineRule="auto"/>
        <w:jc w:val="both"/>
      </w:pPr>
      <w:bookmarkStart w:id="266" w:name="_Toc62221563"/>
      <w:r>
        <w:t>Enhancing NDC</w:t>
      </w:r>
      <w:bookmarkEnd w:id="266"/>
    </w:p>
    <w:p w14:paraId="77CCAB5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key global benchmarks for the Paris Agreement 1.5°C compatible pathways, a rapid decline of GHG and CO</w:t>
      </w:r>
      <w:r>
        <w:rPr>
          <w:rFonts w:ascii="Arial" w:eastAsia="Arial" w:hAnsi="Arial" w:cs="Arial"/>
          <w:sz w:val="20"/>
          <w:szCs w:val="20"/>
          <w:vertAlign w:val="subscript"/>
        </w:rPr>
        <w:t>2</w:t>
      </w:r>
      <w:r>
        <w:rPr>
          <w:rFonts w:ascii="Arial" w:eastAsia="Arial" w:hAnsi="Arial" w:cs="Arial"/>
          <w:sz w:val="20"/>
          <w:szCs w:val="20"/>
        </w:rPr>
        <w:t xml:space="preserve"> emissions by 45% compared with 2010 levels is to be achieved by 2030. Indonesia can increase its aim in the energy sector to reduce emissions by 18% compared to BAU. Achievement of the ambitious target will require the 2030 emissions to drop to 722 MtCO2-e compared with the 2030 BAU emissions of 880 MtCO2-e.</w:t>
      </w:r>
    </w:p>
    <w:p w14:paraId="01D72DB6"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459 MtCO2-e, a drop of 422 MtCO2-e compared to the baseline. This will be achieved by:</w:t>
      </w:r>
    </w:p>
    <w:p w14:paraId="37015CA2" w14:textId="77777777" w:rsidR="00A031A6" w:rsidRDefault="00916FD0">
      <w:pPr>
        <w:numPr>
          <w:ilvl w:val="0"/>
          <w:numId w:val="34"/>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Reducing the consumption emissions by 83 MtCO2-e. This will largely be achieved by implementing energy efficiency measures and fuel switching in the transport sector;</w:t>
      </w:r>
    </w:p>
    <w:p w14:paraId="4A4B9190" w14:textId="77777777" w:rsidR="00A031A6" w:rsidRDefault="00916FD0">
      <w:pPr>
        <w:numPr>
          <w:ilvl w:val="0"/>
          <w:numId w:val="34"/>
        </w:numPr>
        <w:pBdr>
          <w:top w:val="nil"/>
          <w:left w:val="nil"/>
          <w:bottom w:val="nil"/>
          <w:right w:val="nil"/>
          <w:between w:val="nil"/>
        </w:pBdr>
        <w:spacing w:line="360" w:lineRule="auto"/>
        <w:ind w:hanging="152"/>
        <w:jc w:val="both"/>
        <w:rPr>
          <w:color w:val="000000"/>
          <w:sz w:val="20"/>
          <w:szCs w:val="20"/>
        </w:rPr>
      </w:pPr>
      <w:r>
        <w:rPr>
          <w:rFonts w:ascii="Arial" w:eastAsia="Arial" w:hAnsi="Arial" w:cs="Arial"/>
          <w:color w:val="000000"/>
          <w:sz w:val="20"/>
          <w:szCs w:val="20"/>
        </w:rPr>
        <w:t xml:space="preserve">Reducing the electricity generation emissions by 339 MtCO2-e. This is achieved by changing the fuel mix in the power sector. </w:t>
      </w:r>
    </w:p>
    <w:p w14:paraId="501C2292" w14:textId="77777777" w:rsidR="00A031A6" w:rsidRDefault="00916FD0">
      <w:pPr>
        <w:pStyle w:val="Heading5"/>
        <w:spacing w:line="360" w:lineRule="auto"/>
        <w:jc w:val="both"/>
      </w:pPr>
      <w:bookmarkStart w:id="267" w:name="_Toc62221564"/>
      <w:r>
        <w:t>Investment required: IDR 3,309 trillion (US$ 233 billion).</w:t>
      </w:r>
      <w:bookmarkEnd w:id="267"/>
    </w:p>
    <w:p w14:paraId="62670C09"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3,309 trillion (US$ 233 billion) by 2030. This includes costs of:</w:t>
      </w:r>
    </w:p>
    <w:p w14:paraId="26459CAC" w14:textId="77777777" w:rsidR="00A031A6" w:rsidRDefault="00916FD0">
      <w:pPr>
        <w:numPr>
          <w:ilvl w:val="0"/>
          <w:numId w:val="24"/>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IDR 16.6 trillion (US$ 1.17 billion) to achieve access to electricity;</w:t>
      </w:r>
    </w:p>
    <w:p w14:paraId="57983F6F" w14:textId="77777777" w:rsidR="00A031A6" w:rsidRDefault="00916FD0">
      <w:pPr>
        <w:numPr>
          <w:ilvl w:val="0"/>
          <w:numId w:val="24"/>
        </w:numPr>
        <w:pBdr>
          <w:top w:val="nil"/>
          <w:left w:val="nil"/>
          <w:bottom w:val="nil"/>
          <w:right w:val="nil"/>
          <w:between w:val="nil"/>
        </w:pBdr>
        <w:spacing w:after="0" w:line="360" w:lineRule="auto"/>
        <w:ind w:hanging="152"/>
        <w:jc w:val="both"/>
        <w:rPr>
          <w:color w:val="000000"/>
          <w:sz w:val="20"/>
          <w:szCs w:val="20"/>
        </w:rPr>
      </w:pPr>
      <w:r>
        <w:rPr>
          <w:rFonts w:ascii="Arial" w:eastAsia="Arial" w:hAnsi="Arial" w:cs="Arial"/>
          <w:color w:val="000000"/>
          <w:sz w:val="20"/>
          <w:szCs w:val="20"/>
        </w:rPr>
        <w:t>IDR 9.77 trillion (US$ 0.68 billion) to achieve access to clean cooking fuel.</w:t>
      </w:r>
    </w:p>
    <w:p w14:paraId="06C67412" w14:textId="55EA6A28" w:rsidR="00A031A6" w:rsidRPr="00AB12A9" w:rsidRDefault="00916FD0">
      <w:pPr>
        <w:numPr>
          <w:ilvl w:val="0"/>
          <w:numId w:val="24"/>
        </w:numPr>
        <w:pBdr>
          <w:top w:val="nil"/>
          <w:left w:val="nil"/>
          <w:bottom w:val="nil"/>
          <w:right w:val="nil"/>
          <w:between w:val="nil"/>
        </w:pBdr>
        <w:spacing w:line="360" w:lineRule="auto"/>
        <w:ind w:hanging="152"/>
        <w:jc w:val="both"/>
        <w:rPr>
          <w:color w:val="000000"/>
          <w:sz w:val="20"/>
          <w:szCs w:val="20"/>
        </w:rPr>
      </w:pPr>
      <w:r>
        <w:rPr>
          <w:rFonts w:ascii="Arial" w:eastAsia="Arial" w:hAnsi="Arial" w:cs="Arial"/>
          <w:color w:val="000000"/>
          <w:sz w:val="20"/>
          <w:szCs w:val="20"/>
        </w:rPr>
        <w:t>IDR 3,283 trillion (US$ 231 billion) to change the fuel mix in the power sector.</w:t>
      </w:r>
    </w:p>
    <w:p w14:paraId="61243436" w14:textId="77777777" w:rsidR="00AB12A9" w:rsidRDefault="00AB12A9" w:rsidP="00AB12A9">
      <w:pPr>
        <w:pStyle w:val="Heading5"/>
      </w:pPr>
      <w:bookmarkStart w:id="268" w:name="_Toc62221565"/>
      <w:r w:rsidRPr="00A25A8E">
        <w:t>Total net benefits from the power sector</w:t>
      </w:r>
      <w:bookmarkEnd w:id="268"/>
    </w:p>
    <w:p w14:paraId="44F3D95A" w14:textId="43002CA3"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3,922 trillion (US$ 276 billion), more than IDR 625 trillion (US$ 44 billion) higher compared with the current policy scenario. This is because of the higher running fuel and O&amp;M costs of fossil fuel-based power plant lifetime costs.</w:t>
      </w:r>
    </w:p>
    <w:p w14:paraId="59E63473" w14:textId="20E91053" w:rsidR="00AB12A9" w:rsidRDefault="00AB12A9" w:rsidP="00AB12A9">
      <w:pPr>
        <w:pStyle w:val="Heading5"/>
        <w:spacing w:line="360" w:lineRule="auto"/>
        <w:jc w:val="both"/>
      </w:pPr>
      <w:bookmarkStart w:id="269" w:name="_Toc62221566"/>
      <w:r>
        <w:t>Fossil lock-in</w:t>
      </w:r>
      <w:bookmarkEnd w:id="269"/>
    </w:p>
    <w:p w14:paraId="1F74800B"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 xml:space="preserve">Natural gas-fired power plant capacity addition will be phased out. </w:t>
      </w:r>
    </w:p>
    <w:p w14:paraId="44A3196E" w14:textId="77777777" w:rsidR="00AB12A9" w:rsidRDefault="00AB12A9" w:rsidP="00AB12A9">
      <w:pPr>
        <w:pStyle w:val="Heading5"/>
        <w:spacing w:line="360" w:lineRule="auto"/>
        <w:jc w:val="both"/>
      </w:pPr>
      <w:bookmarkStart w:id="270" w:name="_Hlk61869909"/>
      <w:bookmarkStart w:id="271" w:name="_Toc62221567"/>
      <w:r>
        <w:lastRenderedPageBreak/>
        <w:t>Fossil fuel subsidy reform</w:t>
      </w:r>
      <w:bookmarkEnd w:id="271"/>
    </w:p>
    <w:p w14:paraId="40136568" w14:textId="77777777" w:rsidR="00AB12A9" w:rsidRDefault="00AB12A9" w:rsidP="00AB12A9">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and electricity generation fossil fuel subsidies in this scenario, saving the Government of Indonesia IDR 101.18 trillion (US$ 7.12 billion) per year. Indonesia consumer side fossil fuel subsidies comprise three main items:</w:t>
      </w:r>
    </w:p>
    <w:p w14:paraId="43261575" w14:textId="77777777" w:rsidR="00AB12A9" w:rsidRDefault="00AB12A9" w:rsidP="00AB12A9">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A 3-kg LPG subsidy – transition to electric stoves for poor and vulnerable households;</w:t>
      </w:r>
    </w:p>
    <w:p w14:paraId="2711F8B4" w14:textId="77777777" w:rsidR="00AB12A9" w:rsidRDefault="00AB12A9" w:rsidP="00AB12A9">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Kerosene subsidy – transition to electric cooking stoves;</w:t>
      </w:r>
    </w:p>
    <w:p w14:paraId="777EEB00" w14:textId="77777777" w:rsidR="00AB12A9" w:rsidRDefault="00AB12A9" w:rsidP="00AB12A9">
      <w:pPr>
        <w:numPr>
          <w:ilvl w:val="0"/>
          <w:numId w:val="33"/>
        </w:numPr>
        <w:pBdr>
          <w:top w:val="nil"/>
          <w:left w:val="nil"/>
          <w:bottom w:val="nil"/>
          <w:right w:val="nil"/>
          <w:between w:val="nil"/>
        </w:pBdr>
        <w:spacing w:line="360" w:lineRule="auto"/>
        <w:ind w:hanging="160"/>
        <w:jc w:val="both"/>
        <w:rPr>
          <w:color w:val="000000"/>
          <w:sz w:val="20"/>
          <w:szCs w:val="20"/>
        </w:rPr>
      </w:pPr>
      <w:r>
        <w:rPr>
          <w:rFonts w:ascii="Arial" w:eastAsia="Arial" w:hAnsi="Arial" w:cs="Arial"/>
          <w:color w:val="000000"/>
          <w:sz w:val="20"/>
          <w:szCs w:val="20"/>
        </w:rPr>
        <w:t>Diesel subsidy – transition to electric buses and electric passenger taxis.</w:t>
      </w:r>
    </w:p>
    <w:p w14:paraId="5B0A687E" w14:textId="77777777" w:rsidR="00AB12A9" w:rsidRDefault="00AB12A9" w:rsidP="00AB12A9">
      <w:pPr>
        <w:spacing w:after="0" w:line="360" w:lineRule="auto"/>
        <w:jc w:val="both"/>
        <w:rPr>
          <w:rFonts w:ascii="Arial" w:eastAsia="Arial" w:hAnsi="Arial" w:cs="Arial"/>
          <w:sz w:val="20"/>
          <w:szCs w:val="20"/>
        </w:rPr>
      </w:pPr>
      <w:r>
        <w:rPr>
          <w:rFonts w:ascii="Arial" w:eastAsia="Arial" w:hAnsi="Arial" w:cs="Arial"/>
          <w:sz w:val="20"/>
          <w:szCs w:val="20"/>
        </w:rPr>
        <w:t>Indonesia electricity generation fossil fuel subsidies consist of:</w:t>
      </w:r>
    </w:p>
    <w:p w14:paraId="39578F9A" w14:textId="77777777" w:rsidR="00AB12A9" w:rsidRDefault="00AB12A9" w:rsidP="00AB12A9">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Coal price cap – transition to coal price based on market price;</w:t>
      </w:r>
    </w:p>
    <w:p w14:paraId="6F2CDB03" w14:textId="77777777" w:rsidR="00AB12A9" w:rsidRDefault="00AB12A9" w:rsidP="00AB12A9">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Natural gas price cap – transition to natural gas price based on market price;</w:t>
      </w:r>
    </w:p>
    <w:p w14:paraId="26DAFAA7" w14:textId="77777777" w:rsidR="00AB12A9" w:rsidRDefault="00AB12A9" w:rsidP="00AB12A9">
      <w:pPr>
        <w:numPr>
          <w:ilvl w:val="0"/>
          <w:numId w:val="4"/>
        </w:numPr>
        <w:pBdr>
          <w:top w:val="nil"/>
          <w:left w:val="nil"/>
          <w:bottom w:val="nil"/>
          <w:right w:val="nil"/>
          <w:between w:val="nil"/>
        </w:pBdr>
        <w:spacing w:line="360" w:lineRule="auto"/>
        <w:ind w:left="680" w:hanging="357"/>
        <w:jc w:val="both"/>
        <w:rPr>
          <w:rFonts w:ascii="Arial" w:eastAsia="Arial" w:hAnsi="Arial" w:cs="Arial"/>
          <w:color w:val="000000"/>
          <w:sz w:val="20"/>
          <w:szCs w:val="20"/>
        </w:rPr>
      </w:pPr>
      <w:r>
        <w:rPr>
          <w:rFonts w:ascii="Arial" w:eastAsia="Arial" w:hAnsi="Arial" w:cs="Arial"/>
          <w:color w:val="000000"/>
          <w:sz w:val="20"/>
          <w:szCs w:val="20"/>
        </w:rPr>
        <w:t>Indirect coal generation subsidy – tax exemptions, loan guarantees, credit lines abolished.</w:t>
      </w:r>
    </w:p>
    <w:p w14:paraId="39CE962F" w14:textId="77777777" w:rsidR="00AB12A9" w:rsidRDefault="00AB12A9" w:rsidP="00AB12A9">
      <w:pPr>
        <w:pStyle w:val="Heading5"/>
      </w:pPr>
      <w:bookmarkStart w:id="272" w:name="_Toc62221568"/>
      <w:r>
        <w:t>Energy Balance</w:t>
      </w:r>
      <w:bookmarkEnd w:id="272"/>
    </w:p>
    <w:bookmarkEnd w:id="270"/>
    <w:p w14:paraId="7A7F733F" w14:textId="77777777" w:rsidR="00AB12A9" w:rsidRDefault="00AB12A9" w:rsidP="00AB12A9">
      <w:pPr>
        <w:pBdr>
          <w:top w:val="nil"/>
          <w:left w:val="nil"/>
          <w:bottom w:val="nil"/>
          <w:right w:val="nil"/>
          <w:between w:val="nil"/>
        </w:pBdr>
        <w:spacing w:line="360" w:lineRule="auto"/>
        <w:jc w:val="both"/>
        <w:rPr>
          <w:color w:val="000000"/>
          <w:sz w:val="20"/>
          <w:szCs w:val="20"/>
        </w:rPr>
      </w:pPr>
    </w:p>
    <w:p w14:paraId="065F9BDA" w14:textId="77777777" w:rsidR="00A031A6" w:rsidRDefault="00916FD0">
      <w:pPr>
        <w:pStyle w:val="Heading4"/>
        <w:pBdr>
          <w:bottom w:val="single" w:sz="12" w:space="1" w:color="000000"/>
        </w:pBdr>
        <w:jc w:val="both"/>
      </w:pPr>
      <w:bookmarkStart w:id="273" w:name="_Toc62221569"/>
      <w:r>
        <w:t>Enhancing NDC by decarbonizing power sector</w:t>
      </w:r>
      <w:bookmarkEnd w:id="273"/>
    </w:p>
    <w:p w14:paraId="61A73574" w14:textId="77777777" w:rsidR="00AB12A9" w:rsidRDefault="00AB12A9" w:rsidP="00AB12A9">
      <w:pPr>
        <w:pStyle w:val="Heading5"/>
        <w:spacing w:line="360" w:lineRule="auto"/>
        <w:jc w:val="both"/>
      </w:pPr>
      <w:bookmarkStart w:id="274" w:name="_Toc62221570"/>
      <w:r>
        <w:t>Scenario description</w:t>
      </w:r>
      <w:bookmarkEnd w:id="274"/>
    </w:p>
    <w:p w14:paraId="04574CCC" w14:textId="77777777" w:rsidR="00AB12A9" w:rsidRDefault="00AB12A9" w:rsidP="00AB12A9">
      <w:pPr>
        <w:spacing w:line="360" w:lineRule="auto"/>
        <w:jc w:val="both"/>
        <w:rPr>
          <w:rFonts w:ascii="Arial" w:hAnsi="Arial" w:cs="Arial"/>
          <w:sz w:val="20"/>
          <w:szCs w:val="20"/>
        </w:rPr>
      </w:pPr>
      <w:r>
        <w:rPr>
          <w:rFonts w:ascii="Arial" w:hAnsi="Arial" w:cs="Arial"/>
          <w:sz w:val="20"/>
          <w:szCs w:val="20"/>
        </w:rPr>
        <w:t>This scenario is the most ambitious one in which the power sector is completely decarbonized by phasing out all fossil fuel-based power generation by 2030. In addition, e</w:t>
      </w:r>
      <w:r w:rsidRPr="0008468B">
        <w:rPr>
          <w:rFonts w:ascii="Arial" w:hAnsi="Arial" w:cs="Arial"/>
          <w:sz w:val="20"/>
          <w:szCs w:val="20"/>
        </w:rPr>
        <w:t>nergy efficiency is strengthened further to go beyond SDG 7.3 target</w:t>
      </w:r>
      <w:r>
        <w:rPr>
          <w:rFonts w:ascii="Arial" w:hAnsi="Arial" w:cs="Arial"/>
          <w:sz w:val="20"/>
          <w:szCs w:val="20"/>
        </w:rPr>
        <w:t xml:space="preserve">. </w:t>
      </w:r>
      <w:r w:rsidRPr="0008468B">
        <w:rPr>
          <w:rFonts w:ascii="Arial" w:hAnsi="Arial" w:cs="Arial"/>
          <w:sz w:val="20"/>
          <w:szCs w:val="20"/>
        </w:rPr>
        <w:t xml:space="preserve">The fossil fuel subsidy is </w:t>
      </w:r>
      <w:r>
        <w:rPr>
          <w:rFonts w:ascii="Arial" w:hAnsi="Arial" w:cs="Arial"/>
          <w:sz w:val="20"/>
          <w:szCs w:val="20"/>
        </w:rPr>
        <w:t xml:space="preserve">fully removed </w:t>
      </w:r>
      <w:r w:rsidRPr="0008468B">
        <w:rPr>
          <w:rFonts w:ascii="Arial" w:hAnsi="Arial" w:cs="Arial"/>
          <w:sz w:val="20"/>
          <w:szCs w:val="20"/>
        </w:rPr>
        <w:t>and a carbon price of IDR 426,300 (US$30</w:t>
      </w:r>
      <w:r>
        <w:rPr>
          <w:rFonts w:ascii="Arial" w:hAnsi="Arial" w:cs="Arial"/>
          <w:sz w:val="20"/>
          <w:szCs w:val="20"/>
        </w:rPr>
        <w:t xml:space="preserve">) </w:t>
      </w:r>
      <w:r w:rsidRPr="0008468B">
        <w:rPr>
          <w:rFonts w:ascii="Arial" w:hAnsi="Arial" w:cs="Arial"/>
          <w:sz w:val="20"/>
          <w:szCs w:val="20"/>
        </w:rPr>
        <w:t>per ton is introduced</w:t>
      </w:r>
      <w:r>
        <w:rPr>
          <w:rFonts w:ascii="Arial" w:hAnsi="Arial" w:cs="Arial"/>
          <w:sz w:val="20"/>
          <w:szCs w:val="20"/>
        </w:rPr>
        <w:t xml:space="preserve">. </w:t>
      </w:r>
    </w:p>
    <w:p w14:paraId="1B763991" w14:textId="77777777" w:rsidR="00AB12A9" w:rsidRPr="00672401" w:rsidRDefault="00AB12A9" w:rsidP="00AB12A9">
      <w:pPr>
        <w:pStyle w:val="Heading5"/>
        <w:spacing w:line="360" w:lineRule="auto"/>
        <w:jc w:val="both"/>
        <w:rPr>
          <w:b w:val="0"/>
        </w:rPr>
      </w:pPr>
      <w:bookmarkStart w:id="275" w:name="_Toc62221571"/>
      <w:r>
        <w:t>SDG 7.1.1. Universal access to electricity</w:t>
      </w:r>
      <w:bookmarkEnd w:id="275"/>
    </w:p>
    <w:p w14:paraId="218B1FDB"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7151E687" w14:textId="77777777" w:rsidR="00AB12A9" w:rsidRDefault="00AB12A9" w:rsidP="00AB12A9">
      <w:pPr>
        <w:pStyle w:val="Heading5"/>
        <w:spacing w:line="360" w:lineRule="auto"/>
        <w:jc w:val="both"/>
      </w:pPr>
      <w:bookmarkStart w:id="276" w:name="_Toc62221572"/>
      <w:r>
        <w:t>SDG 7.1.2. Universal access to clean cooking</w:t>
      </w:r>
      <w:bookmarkEnd w:id="276"/>
    </w:p>
    <w:p w14:paraId="6E05BE4E"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6D629A83"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1CEAAE59" w14:textId="14C8BDB3" w:rsidR="00A031A6" w:rsidRDefault="00916FD0">
      <w:pPr>
        <w:pStyle w:val="Heading5"/>
        <w:spacing w:line="360" w:lineRule="auto"/>
        <w:jc w:val="both"/>
      </w:pPr>
      <w:bookmarkStart w:id="277" w:name="_Toc62221573"/>
      <w:r>
        <w:lastRenderedPageBreak/>
        <w:t>SDG 7.2. Renewable energy</w:t>
      </w:r>
      <w:bookmarkEnd w:id="277"/>
    </w:p>
    <w:p w14:paraId="722F4FFD"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31.3% by 2030, which is the optimum share for ensuring the achievement of other SDG 7 targets and the NDC constraints. </w:t>
      </w:r>
    </w:p>
    <w:p w14:paraId="1C1C9DF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generation is projected to increase significantly and contribute 100% of total electricity generation in 2030, led by growth in hydropower, geothermal and solar power technologies.</w:t>
      </w:r>
    </w:p>
    <w:p w14:paraId="1142F8F0" w14:textId="77777777" w:rsidR="00AB12A9" w:rsidRDefault="00AB12A9" w:rsidP="00AB12A9">
      <w:pPr>
        <w:pStyle w:val="Heading5"/>
        <w:spacing w:line="360" w:lineRule="auto"/>
        <w:jc w:val="both"/>
      </w:pPr>
      <w:bookmarkStart w:id="278" w:name="_Toc62221574"/>
      <w:r>
        <w:t>SDG 7.3. Energy efficiency</w:t>
      </w:r>
      <w:bookmarkEnd w:id="278"/>
    </w:p>
    <w:p w14:paraId="5154D8FE" w14:textId="77777777" w:rsidR="00AB12A9" w:rsidRDefault="00AB12A9" w:rsidP="00AB12A9">
      <w:pPr>
        <w:spacing w:after="0" w:line="360" w:lineRule="auto"/>
        <w:jc w:val="both"/>
        <w:rPr>
          <w:rFonts w:ascii="Arial" w:eastAsia="Arial" w:hAnsi="Arial" w:cs="Arial"/>
          <w:sz w:val="20"/>
          <w:szCs w:val="20"/>
        </w:rPr>
      </w:pPr>
      <w:r>
        <w:rPr>
          <w:rFonts w:ascii="Arial" w:eastAsia="Arial" w:hAnsi="Arial" w:cs="Arial"/>
          <w:sz w:val="20"/>
          <w:szCs w:val="20"/>
        </w:rPr>
        <w:t>Indonesia can accelerate energy efficiency gains beyond the SDG 7.3 target. This can be achieved by a range of energy efficiency measures to achieve a reduction of 209 million BOE:</w:t>
      </w:r>
    </w:p>
    <w:p w14:paraId="3F155EE4" w14:textId="77777777" w:rsidR="00AB12A9" w:rsidRDefault="00AB12A9" w:rsidP="00AB12A9">
      <w:pPr>
        <w:numPr>
          <w:ilvl w:val="0"/>
          <w:numId w:val="45"/>
        </w:numPr>
        <w:pBdr>
          <w:top w:val="nil"/>
          <w:left w:val="nil"/>
          <w:bottom w:val="nil"/>
          <w:right w:val="nil"/>
          <w:between w:val="nil"/>
        </w:pBdr>
        <w:spacing w:after="0" w:line="360" w:lineRule="auto"/>
        <w:jc w:val="both"/>
        <w:rPr>
          <w:color w:val="000000"/>
          <w:sz w:val="20"/>
          <w:szCs w:val="20"/>
        </w:rPr>
      </w:pPr>
      <w:r>
        <w:rPr>
          <w:rFonts w:ascii="Arial" w:eastAsia="Arial" w:hAnsi="Arial" w:cs="Arial"/>
          <w:color w:val="000000"/>
          <w:sz w:val="20"/>
          <w:szCs w:val="20"/>
        </w:rPr>
        <w:t>Introduce MEPS for all new refrigerators from 2022 onwards, saving 10 million BOE annually;</w:t>
      </w:r>
    </w:p>
    <w:p w14:paraId="31E629C5"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televisions from 2022 onwards, saving 10 million BOE annually;</w:t>
      </w:r>
    </w:p>
    <w:p w14:paraId="65DD3558"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air conditioners from 2022 onwards, saving 8 million BOE annually;</w:t>
      </w:r>
    </w:p>
    <w:p w14:paraId="72545572"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lights from 2022 onwards in order to reduce CFL 14W to LED 5W, saving 6 million BOE annually;</w:t>
      </w:r>
    </w:p>
    <w:p w14:paraId="285EE682"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washing machines from 2022 onwards, saving 2 million BOE annually;</w:t>
      </w:r>
    </w:p>
    <w:p w14:paraId="5BBDD8E0"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electric fans from 2022 onwards, saving 2 million BOE annually;</w:t>
      </w:r>
    </w:p>
    <w:p w14:paraId="1D35E670"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Introduce MEPS for all new water pumps from 2022 onwards, saving 0.4 million BOE annually;</w:t>
      </w:r>
    </w:p>
    <w:p w14:paraId="37D62118"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Promotion of electric cook stoves for households with traditional biomass cook stoves and households depending on LPG subsidy, saving 10 million BOE annually.</w:t>
      </w:r>
    </w:p>
    <w:p w14:paraId="2CC0575C"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Change the wet process of clinker production in the cement industry to a pre-heated process using pre-calciner kilns, saving 27 million BOE annually;</w:t>
      </w:r>
    </w:p>
    <w:p w14:paraId="69E41C64"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Regenerative burners (30 per cent energy saving) for the iron and steel industry, saving 16 million BOE annually;</w:t>
      </w:r>
    </w:p>
    <w:p w14:paraId="6F221C77"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Increasing the share of co-generation/combined heat and power in the pulp and paper industry from 80 per cent to 100 per cent, saving 1 million BOE annually;</w:t>
      </w:r>
    </w:p>
    <w:p w14:paraId="0AAAEFE7"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Benchmarking electricity consumption in cement production, saving 1 million BOE annually;</w:t>
      </w:r>
    </w:p>
    <w:p w14:paraId="5AC22F55"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Switching from fixed drive to variable speed drive motors in the iron and steel industry, saving 0.1 million BOE annually.</w:t>
      </w:r>
    </w:p>
    <w:p w14:paraId="669EB57B"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8"/>
      </w:r>
      <w:r>
        <w:rPr>
          <w:rFonts w:ascii="Arial" w:eastAsia="Arial" w:hAnsi="Arial" w:cs="Arial"/>
          <w:color w:val="000000"/>
          <w:sz w:val="20"/>
          <w:szCs w:val="20"/>
        </w:rPr>
        <w:t xml:space="preserve"> of passenger buses to electric buses by 2030, saving 55 million barrels of oil equivalent (BOE) annually;</w:t>
      </w:r>
    </w:p>
    <w:p w14:paraId="71A51535"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Improve fuel economy standards by 20 per cent for all heavy-duty vehicles from 2022 onwards, saving 36 million BOE annually;</w:t>
      </w:r>
    </w:p>
    <w:p w14:paraId="652B972D"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Convert 50 per cent</w:t>
      </w:r>
      <w:r>
        <w:rPr>
          <w:rFonts w:ascii="Arial" w:eastAsia="Arial" w:hAnsi="Arial" w:cs="Arial"/>
          <w:color w:val="000000"/>
          <w:sz w:val="20"/>
          <w:szCs w:val="20"/>
          <w:vertAlign w:val="superscript"/>
        </w:rPr>
        <w:footnoteReference w:id="19"/>
      </w:r>
      <w:r>
        <w:rPr>
          <w:rFonts w:ascii="Arial" w:eastAsia="Arial" w:hAnsi="Arial" w:cs="Arial"/>
          <w:color w:val="000000"/>
          <w:sz w:val="20"/>
          <w:szCs w:val="20"/>
        </w:rPr>
        <w:t xml:space="preserve"> of passenger cars to electric cars by 2030, saving 24 million BOE annually;</w:t>
      </w:r>
    </w:p>
    <w:p w14:paraId="26B80152" w14:textId="77777777" w:rsid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rPr>
          <w:rFonts w:ascii="Arial" w:eastAsia="Arial" w:hAnsi="Arial" w:cs="Arial"/>
          <w:color w:val="000000"/>
          <w:sz w:val="20"/>
          <w:szCs w:val="20"/>
        </w:rPr>
        <w:t>Electrification of 100 per cent passenger taxis by 2030, saving 1 million BOE annually;</w:t>
      </w:r>
    </w:p>
    <w:p w14:paraId="5E6985E8" w14:textId="7D2F9D71" w:rsidR="00AB12A9" w:rsidRPr="00AB12A9" w:rsidRDefault="00AB12A9" w:rsidP="00AB12A9">
      <w:pPr>
        <w:numPr>
          <w:ilvl w:val="0"/>
          <w:numId w:val="45"/>
        </w:numPr>
        <w:pBdr>
          <w:top w:val="nil"/>
          <w:left w:val="nil"/>
          <w:bottom w:val="nil"/>
          <w:right w:val="nil"/>
          <w:between w:val="nil"/>
        </w:pBdr>
        <w:spacing w:after="0" w:line="360" w:lineRule="auto"/>
        <w:ind w:hanging="360"/>
        <w:jc w:val="both"/>
        <w:rPr>
          <w:color w:val="000000"/>
          <w:sz w:val="20"/>
          <w:szCs w:val="20"/>
        </w:rPr>
      </w:pPr>
      <w:r>
        <w:t>Improving Energy Efficiency Standards in government buildings 10 per cent by 2030; saving 0.3 million BOE annually;</w:t>
      </w:r>
    </w:p>
    <w:p w14:paraId="0EF99E2F" w14:textId="2D7E3950" w:rsidR="00A031A6" w:rsidRDefault="00916FD0">
      <w:pPr>
        <w:pStyle w:val="Heading5"/>
        <w:spacing w:line="360" w:lineRule="auto"/>
        <w:jc w:val="both"/>
      </w:pPr>
      <w:bookmarkStart w:id="279" w:name="_Toc62221575"/>
      <w:r>
        <w:lastRenderedPageBreak/>
        <w:t>Enhancing NDC</w:t>
      </w:r>
      <w:bookmarkEnd w:id="279"/>
    </w:p>
    <w:p w14:paraId="19363B2E"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Based on key global benchmarks for the Paris Agreement 1.5°C compatible pathways, a rapid decline of GHG and CO</w:t>
      </w:r>
      <w:r>
        <w:rPr>
          <w:rFonts w:ascii="Arial" w:eastAsia="Arial" w:hAnsi="Arial" w:cs="Arial"/>
          <w:sz w:val="20"/>
          <w:szCs w:val="20"/>
          <w:vertAlign w:val="subscript"/>
        </w:rPr>
        <w:t>2</w:t>
      </w:r>
      <w:r>
        <w:rPr>
          <w:rFonts w:ascii="Arial" w:eastAsia="Arial" w:hAnsi="Arial" w:cs="Arial"/>
          <w:sz w:val="20"/>
          <w:szCs w:val="20"/>
        </w:rPr>
        <w:t xml:space="preserve"> emissions by 45% compared with 2010 levels will be achieved by 2030. Indonesia can increase its aim in the energy sector to reduce emissions by 18% compared to BAU. Achievement of the ambitious target will require the 2030 emissions to drop to 722 MtCO2-e compared with the 2030 BAU emissions of 880 MtCO2-e.</w:t>
      </w:r>
    </w:p>
    <w:p w14:paraId="50891FD6"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Based on emission constraints and NEMO-based optimization for least-cost electric generation, the overall emission from this scenario is 381 MtCO2-e, a drop of 500 MtCO2-e compared to the baseline. This will be achieved by:</w:t>
      </w:r>
    </w:p>
    <w:p w14:paraId="37974390" w14:textId="77777777" w:rsidR="00A031A6" w:rsidRDefault="00916FD0">
      <w:pPr>
        <w:numPr>
          <w:ilvl w:val="0"/>
          <w:numId w:val="11"/>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Reducing the consumption emissions by 83 MtCO2-e. This is largely achieved by implementing energy efficiency measures and fuel switching in the transport sector;</w:t>
      </w:r>
    </w:p>
    <w:p w14:paraId="4107B797" w14:textId="77777777" w:rsidR="00A031A6" w:rsidRDefault="00916FD0">
      <w:pPr>
        <w:numPr>
          <w:ilvl w:val="0"/>
          <w:numId w:val="11"/>
        </w:numPr>
        <w:pBdr>
          <w:top w:val="nil"/>
          <w:left w:val="nil"/>
          <w:bottom w:val="nil"/>
          <w:right w:val="nil"/>
          <w:between w:val="nil"/>
        </w:pBdr>
        <w:spacing w:line="360" w:lineRule="auto"/>
        <w:ind w:hanging="146"/>
        <w:jc w:val="both"/>
        <w:rPr>
          <w:color w:val="000000"/>
          <w:sz w:val="20"/>
          <w:szCs w:val="20"/>
        </w:rPr>
      </w:pPr>
      <w:r>
        <w:rPr>
          <w:rFonts w:ascii="Arial" w:eastAsia="Arial" w:hAnsi="Arial" w:cs="Arial"/>
          <w:color w:val="000000"/>
          <w:sz w:val="20"/>
          <w:szCs w:val="20"/>
        </w:rPr>
        <w:t xml:space="preserve">Reducing the electricity generation emissions by 417 MtCO2-e. This is achieved by changing the fuel mix in the power sector. </w:t>
      </w:r>
    </w:p>
    <w:p w14:paraId="601AF23F" w14:textId="77777777" w:rsidR="00A031A6" w:rsidRDefault="00916FD0">
      <w:pPr>
        <w:pStyle w:val="Heading5"/>
        <w:spacing w:line="360" w:lineRule="auto"/>
        <w:jc w:val="both"/>
      </w:pPr>
      <w:bookmarkStart w:id="280" w:name="_Toc62221576"/>
      <w:r>
        <w:t>Investment required: IDR 4,232 trillion (US$ 298 billion).</w:t>
      </w:r>
      <w:bookmarkEnd w:id="280"/>
    </w:p>
    <w:p w14:paraId="04CC454A"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4,232 trillion (US$ 298 billion) by 2030. This includes costs of:</w:t>
      </w:r>
    </w:p>
    <w:p w14:paraId="2B8AD8AA" w14:textId="77777777" w:rsidR="00A031A6" w:rsidRDefault="00916FD0">
      <w:pPr>
        <w:numPr>
          <w:ilvl w:val="0"/>
          <w:numId w:val="25"/>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IDR 16.6 trillion (US$ 1.17 billion) to achieve access to electricity;</w:t>
      </w:r>
    </w:p>
    <w:p w14:paraId="08A6AEC1" w14:textId="77777777" w:rsidR="00A031A6" w:rsidRDefault="00916FD0">
      <w:pPr>
        <w:numPr>
          <w:ilvl w:val="0"/>
          <w:numId w:val="25"/>
        </w:numPr>
        <w:pBdr>
          <w:top w:val="nil"/>
          <w:left w:val="nil"/>
          <w:bottom w:val="nil"/>
          <w:right w:val="nil"/>
          <w:between w:val="nil"/>
        </w:pBdr>
        <w:spacing w:after="0" w:line="360" w:lineRule="auto"/>
        <w:ind w:hanging="187"/>
        <w:jc w:val="both"/>
        <w:rPr>
          <w:color w:val="000000"/>
          <w:sz w:val="20"/>
          <w:szCs w:val="20"/>
        </w:rPr>
      </w:pPr>
      <w:r>
        <w:rPr>
          <w:rFonts w:ascii="Arial" w:eastAsia="Arial" w:hAnsi="Arial" w:cs="Arial"/>
          <w:color w:val="000000"/>
          <w:sz w:val="20"/>
          <w:szCs w:val="20"/>
        </w:rPr>
        <w:t>IDR 9.77 trillion (US$ 0.68 billion) to achieve access to clean cooking fuel;</w:t>
      </w:r>
    </w:p>
    <w:p w14:paraId="7D8AD00A" w14:textId="18D5A068" w:rsidR="00A031A6" w:rsidRPr="00AB12A9" w:rsidRDefault="00916FD0">
      <w:pPr>
        <w:numPr>
          <w:ilvl w:val="0"/>
          <w:numId w:val="25"/>
        </w:numPr>
        <w:pBdr>
          <w:top w:val="nil"/>
          <w:left w:val="nil"/>
          <w:bottom w:val="nil"/>
          <w:right w:val="nil"/>
          <w:between w:val="nil"/>
        </w:pBdr>
        <w:spacing w:line="360" w:lineRule="auto"/>
        <w:ind w:hanging="187"/>
        <w:jc w:val="both"/>
        <w:rPr>
          <w:color w:val="000000"/>
          <w:sz w:val="20"/>
          <w:szCs w:val="20"/>
        </w:rPr>
      </w:pPr>
      <w:r>
        <w:rPr>
          <w:rFonts w:ascii="Arial" w:eastAsia="Arial" w:hAnsi="Arial" w:cs="Arial"/>
          <w:color w:val="000000"/>
          <w:sz w:val="20"/>
          <w:szCs w:val="20"/>
        </w:rPr>
        <w:t>IDR 4,206 trillion (US$ 296 billion) to change the fuel mix in the power sector.</w:t>
      </w:r>
    </w:p>
    <w:p w14:paraId="033CDAB7" w14:textId="77777777" w:rsidR="00AB12A9" w:rsidRDefault="00AB12A9" w:rsidP="00AB12A9">
      <w:pPr>
        <w:pStyle w:val="Heading5"/>
      </w:pPr>
      <w:bookmarkStart w:id="281" w:name="_Toc62221577"/>
      <w:r w:rsidRPr="00A25A8E">
        <w:t>Total net benefits from the power sector</w:t>
      </w:r>
      <w:bookmarkEnd w:id="281"/>
    </w:p>
    <w:p w14:paraId="74E158B6" w14:textId="77777777" w:rsidR="00AB12A9" w:rsidRDefault="00AB12A9" w:rsidP="00AB12A9">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3,723 trillion (US$ 262 billion), more than IDR 426 trillion (US$ 30 billion) higher compared to the current policy scenario. This is because of the higher running fuel and O&amp;M costs of fossil fuel-based power plant lifetime costs.</w:t>
      </w:r>
    </w:p>
    <w:p w14:paraId="0ACD390B" w14:textId="77777777" w:rsidR="00AB12A9" w:rsidRDefault="00AB12A9" w:rsidP="00AB12A9">
      <w:pPr>
        <w:pStyle w:val="Heading5"/>
        <w:spacing w:line="360" w:lineRule="auto"/>
        <w:jc w:val="both"/>
      </w:pPr>
      <w:bookmarkStart w:id="282" w:name="_Toc62221578"/>
      <w:r>
        <w:t>Fossil lock-in</w:t>
      </w:r>
      <w:bookmarkEnd w:id="282"/>
    </w:p>
    <w:p w14:paraId="56776E5A" w14:textId="352B6A59" w:rsidR="00AB12A9" w:rsidRDefault="00AB12A9" w:rsidP="00AB12A9">
      <w:pPr>
        <w:pBdr>
          <w:top w:val="nil"/>
          <w:left w:val="nil"/>
          <w:bottom w:val="nil"/>
          <w:right w:val="nil"/>
          <w:between w:val="nil"/>
        </w:pBdr>
        <w:spacing w:line="360" w:lineRule="auto"/>
        <w:jc w:val="both"/>
        <w:rPr>
          <w:rFonts w:ascii="Arial" w:eastAsia="Arial" w:hAnsi="Arial" w:cs="Arial"/>
          <w:sz w:val="20"/>
          <w:szCs w:val="20"/>
        </w:rPr>
      </w:pPr>
      <w:r>
        <w:rPr>
          <w:rFonts w:ascii="Arial" w:eastAsia="Arial" w:hAnsi="Arial" w:cs="Arial"/>
          <w:sz w:val="20"/>
          <w:szCs w:val="20"/>
        </w:rPr>
        <w:t>Fossil fuel-fired power plant capacity addition</w:t>
      </w:r>
      <w:r w:rsidR="00576E8F">
        <w:rPr>
          <w:rFonts w:ascii="Arial" w:eastAsia="Arial" w:hAnsi="Arial" w:cs="Arial"/>
          <w:sz w:val="20"/>
          <w:szCs w:val="20"/>
        </w:rPr>
        <w:t xml:space="preserve"> and the existing ones</w:t>
      </w:r>
      <w:r>
        <w:rPr>
          <w:rFonts w:ascii="Arial" w:eastAsia="Arial" w:hAnsi="Arial" w:cs="Arial"/>
          <w:sz w:val="20"/>
          <w:szCs w:val="20"/>
        </w:rPr>
        <w:t xml:space="preserve"> will be phased out.</w:t>
      </w:r>
    </w:p>
    <w:p w14:paraId="5E7E464F" w14:textId="77777777" w:rsidR="00976C92" w:rsidRDefault="00976C92" w:rsidP="00976C92">
      <w:pPr>
        <w:pStyle w:val="Heading5"/>
        <w:spacing w:line="360" w:lineRule="auto"/>
        <w:jc w:val="both"/>
      </w:pPr>
      <w:bookmarkStart w:id="283" w:name="_Toc62221579"/>
      <w:r>
        <w:t>Fossil fuel subsidy reform</w:t>
      </w:r>
      <w:bookmarkEnd w:id="283"/>
    </w:p>
    <w:p w14:paraId="2D5C365E" w14:textId="77777777" w:rsidR="00976C92" w:rsidRDefault="00976C92" w:rsidP="00976C92">
      <w:pPr>
        <w:spacing w:after="0" w:line="360" w:lineRule="auto"/>
        <w:jc w:val="both"/>
        <w:rPr>
          <w:rFonts w:ascii="Arial" w:eastAsia="Arial" w:hAnsi="Arial" w:cs="Arial"/>
          <w:sz w:val="20"/>
          <w:szCs w:val="20"/>
        </w:rPr>
      </w:pPr>
      <w:r>
        <w:rPr>
          <w:rFonts w:ascii="Arial" w:eastAsia="Arial" w:hAnsi="Arial" w:cs="Arial"/>
          <w:sz w:val="20"/>
          <w:szCs w:val="20"/>
        </w:rPr>
        <w:t>The NEXSTEP analysis considers abolishing consumer side and electricity generation fossil fuel subsidies in this scenario, saving the Government of Indonesia IDR 101.18 trillion (US$ 7.12 billion) per year. Indonesia consumer side fossil fuel subsidies comprise three main items:</w:t>
      </w:r>
    </w:p>
    <w:p w14:paraId="459E7CAE" w14:textId="77777777" w:rsidR="00976C92" w:rsidRDefault="00976C92" w:rsidP="00976C92">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A 3-kg LPG subsidy – transition to electric stoves for poor and vulnerable households;</w:t>
      </w:r>
    </w:p>
    <w:p w14:paraId="6C21F274" w14:textId="77777777" w:rsidR="00976C92" w:rsidRDefault="00976C92" w:rsidP="00976C92">
      <w:pPr>
        <w:numPr>
          <w:ilvl w:val="0"/>
          <w:numId w:val="33"/>
        </w:numPr>
        <w:pBdr>
          <w:top w:val="nil"/>
          <w:left w:val="nil"/>
          <w:bottom w:val="nil"/>
          <w:right w:val="nil"/>
          <w:between w:val="nil"/>
        </w:pBdr>
        <w:spacing w:after="0" w:line="360" w:lineRule="auto"/>
        <w:ind w:hanging="160"/>
        <w:jc w:val="both"/>
        <w:rPr>
          <w:color w:val="000000"/>
          <w:sz w:val="20"/>
          <w:szCs w:val="20"/>
        </w:rPr>
      </w:pPr>
      <w:r>
        <w:rPr>
          <w:rFonts w:ascii="Arial" w:eastAsia="Arial" w:hAnsi="Arial" w:cs="Arial"/>
          <w:color w:val="000000"/>
          <w:sz w:val="20"/>
          <w:szCs w:val="20"/>
        </w:rPr>
        <w:t>Kerosene subsidy – transition to electric cooking stoves;</w:t>
      </w:r>
    </w:p>
    <w:p w14:paraId="6D5F44C6" w14:textId="77777777" w:rsidR="00976C92" w:rsidRDefault="00976C92" w:rsidP="00976C92">
      <w:pPr>
        <w:numPr>
          <w:ilvl w:val="0"/>
          <w:numId w:val="33"/>
        </w:numPr>
        <w:pBdr>
          <w:top w:val="nil"/>
          <w:left w:val="nil"/>
          <w:bottom w:val="nil"/>
          <w:right w:val="nil"/>
          <w:between w:val="nil"/>
        </w:pBdr>
        <w:spacing w:line="360" w:lineRule="auto"/>
        <w:ind w:hanging="160"/>
        <w:jc w:val="both"/>
        <w:rPr>
          <w:color w:val="000000"/>
          <w:sz w:val="20"/>
          <w:szCs w:val="20"/>
        </w:rPr>
      </w:pPr>
      <w:r>
        <w:rPr>
          <w:rFonts w:ascii="Arial" w:eastAsia="Arial" w:hAnsi="Arial" w:cs="Arial"/>
          <w:color w:val="000000"/>
          <w:sz w:val="20"/>
          <w:szCs w:val="20"/>
        </w:rPr>
        <w:t>Diesel subsidy – transition to electric buses and electric passenger taxis.</w:t>
      </w:r>
    </w:p>
    <w:p w14:paraId="7ADE4AD9" w14:textId="77777777" w:rsidR="00976C92" w:rsidRDefault="00976C92" w:rsidP="00976C92">
      <w:pPr>
        <w:spacing w:after="0" w:line="360" w:lineRule="auto"/>
        <w:jc w:val="both"/>
        <w:rPr>
          <w:rFonts w:ascii="Arial" w:eastAsia="Arial" w:hAnsi="Arial" w:cs="Arial"/>
          <w:sz w:val="20"/>
          <w:szCs w:val="20"/>
        </w:rPr>
      </w:pPr>
      <w:r>
        <w:rPr>
          <w:rFonts w:ascii="Arial" w:eastAsia="Arial" w:hAnsi="Arial" w:cs="Arial"/>
          <w:sz w:val="20"/>
          <w:szCs w:val="20"/>
        </w:rPr>
        <w:t>Indonesia electricity generation fossil fuel subsidies consist of:</w:t>
      </w:r>
    </w:p>
    <w:p w14:paraId="3CEA6ED4" w14:textId="77777777" w:rsidR="00976C92" w:rsidRDefault="00976C92" w:rsidP="00976C92">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Coal price cap – transition to coal price based on market price;</w:t>
      </w:r>
    </w:p>
    <w:p w14:paraId="08AA8892" w14:textId="77777777" w:rsidR="00976C92" w:rsidRDefault="00976C92" w:rsidP="00976C92">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Natural gas price cap – transition to natural gas price based on market price;</w:t>
      </w:r>
    </w:p>
    <w:p w14:paraId="1145FC71" w14:textId="77777777" w:rsidR="00976C92" w:rsidRDefault="00976C92" w:rsidP="00976C92">
      <w:pPr>
        <w:numPr>
          <w:ilvl w:val="0"/>
          <w:numId w:val="4"/>
        </w:numPr>
        <w:pBdr>
          <w:top w:val="nil"/>
          <w:left w:val="nil"/>
          <w:bottom w:val="nil"/>
          <w:right w:val="nil"/>
          <w:between w:val="nil"/>
        </w:pBdr>
        <w:spacing w:line="360" w:lineRule="auto"/>
        <w:ind w:left="680" w:hanging="357"/>
        <w:jc w:val="both"/>
        <w:rPr>
          <w:rFonts w:ascii="Arial" w:eastAsia="Arial" w:hAnsi="Arial" w:cs="Arial"/>
          <w:color w:val="000000"/>
          <w:sz w:val="20"/>
          <w:szCs w:val="20"/>
        </w:rPr>
      </w:pPr>
      <w:r>
        <w:rPr>
          <w:rFonts w:ascii="Arial" w:eastAsia="Arial" w:hAnsi="Arial" w:cs="Arial"/>
          <w:color w:val="000000"/>
          <w:sz w:val="20"/>
          <w:szCs w:val="20"/>
        </w:rPr>
        <w:t>Indirect coal generation subsidy – tax exemptions, loan guarantees, credit lines abolished.</w:t>
      </w:r>
    </w:p>
    <w:p w14:paraId="44F245C1" w14:textId="77777777" w:rsidR="00976C92" w:rsidRDefault="00976C92" w:rsidP="00976C92">
      <w:pPr>
        <w:pStyle w:val="Heading5"/>
      </w:pPr>
      <w:bookmarkStart w:id="284" w:name="_Toc62221580"/>
      <w:r>
        <w:lastRenderedPageBreak/>
        <w:t>Energy Balance</w:t>
      </w:r>
      <w:bookmarkEnd w:id="284"/>
    </w:p>
    <w:p w14:paraId="76CEBC8B" w14:textId="77777777" w:rsidR="00AB12A9" w:rsidRDefault="00AB12A9" w:rsidP="00AB12A9">
      <w:pPr>
        <w:pBdr>
          <w:top w:val="nil"/>
          <w:left w:val="nil"/>
          <w:bottom w:val="nil"/>
          <w:right w:val="nil"/>
          <w:between w:val="nil"/>
        </w:pBdr>
        <w:spacing w:line="360" w:lineRule="auto"/>
        <w:jc w:val="both"/>
        <w:rPr>
          <w:color w:val="000000"/>
          <w:sz w:val="20"/>
          <w:szCs w:val="20"/>
        </w:rPr>
      </w:pPr>
    </w:p>
    <w:p w14:paraId="515C1D19" w14:textId="77777777" w:rsidR="00A031A6" w:rsidRDefault="00916FD0">
      <w:pPr>
        <w:pStyle w:val="Heading4"/>
        <w:pBdr>
          <w:bottom w:val="single" w:sz="12" w:space="1" w:color="000000"/>
        </w:pBdr>
      </w:pPr>
      <w:bookmarkStart w:id="285" w:name="_Toc62221581"/>
      <w:r>
        <w:t>No new investment in coal-fired power plants</w:t>
      </w:r>
      <w:bookmarkEnd w:id="285"/>
    </w:p>
    <w:p w14:paraId="22E535B4" w14:textId="77777777" w:rsidR="00976C92" w:rsidRDefault="00976C92" w:rsidP="00976C92">
      <w:pPr>
        <w:pStyle w:val="Heading5"/>
        <w:spacing w:line="360" w:lineRule="auto"/>
        <w:jc w:val="both"/>
      </w:pPr>
      <w:bookmarkStart w:id="286" w:name="_Toc62221582"/>
      <w:r>
        <w:t>Scenario description</w:t>
      </w:r>
      <w:bookmarkEnd w:id="286"/>
    </w:p>
    <w:p w14:paraId="3C8CD60B" w14:textId="77777777" w:rsidR="00976C92" w:rsidRPr="00D12625" w:rsidRDefault="00976C92" w:rsidP="00976C92">
      <w:pPr>
        <w:spacing w:line="360" w:lineRule="auto"/>
        <w:jc w:val="both"/>
        <w:rPr>
          <w:rFonts w:ascii="Arial" w:hAnsi="Arial" w:cs="Arial"/>
          <w:sz w:val="20"/>
          <w:szCs w:val="20"/>
        </w:rPr>
      </w:pPr>
      <w:r w:rsidRPr="00D12625">
        <w:rPr>
          <w:rFonts w:ascii="Arial" w:hAnsi="Arial" w:cs="Arial"/>
          <w:sz w:val="20"/>
          <w:szCs w:val="20"/>
        </w:rPr>
        <w:t>This scenario looks at raising ambition beyond SDG 7.</w:t>
      </w:r>
      <w:r>
        <w:rPr>
          <w:rFonts w:ascii="Arial" w:hAnsi="Arial" w:cs="Arial"/>
          <w:sz w:val="20"/>
          <w:szCs w:val="20"/>
        </w:rPr>
        <w:t xml:space="preserve"> </w:t>
      </w:r>
      <w:r w:rsidRPr="00336A48">
        <w:rPr>
          <w:rFonts w:ascii="Arial" w:hAnsi="Arial" w:cs="Arial"/>
          <w:sz w:val="20"/>
          <w:szCs w:val="20"/>
        </w:rPr>
        <w:t xml:space="preserve">Targets for access to electricity and clean cooking fuel are achieved by least-cost options, which are off-grid technologies and electric </w:t>
      </w:r>
      <w:r>
        <w:rPr>
          <w:rFonts w:ascii="Arial" w:hAnsi="Arial" w:cs="Arial"/>
          <w:sz w:val="20"/>
          <w:szCs w:val="20"/>
        </w:rPr>
        <w:t>cooking stoves,</w:t>
      </w:r>
      <w:r w:rsidRPr="00336A48">
        <w:rPr>
          <w:rFonts w:ascii="Arial" w:hAnsi="Arial" w:cs="Arial"/>
          <w:sz w:val="20"/>
          <w:szCs w:val="20"/>
        </w:rPr>
        <w:t xml:space="preserve"> respectively</w:t>
      </w:r>
      <w:r w:rsidRPr="00912153">
        <w:rPr>
          <w:rFonts w:ascii="Arial" w:hAnsi="Arial" w:cs="Arial"/>
          <w:sz w:val="20"/>
          <w:szCs w:val="20"/>
        </w:rPr>
        <w:t xml:space="preserve"> Energy efficiency is strengthened to achieve the SDG 7.3 target, and the optimum share of renewable energy is estimated using the NDC unconditional target as the constraint. Coal is phased out from the power sector, with no new coal power plants after 2020 and the gradual decommissioning of existing ones by 2030</w:t>
      </w:r>
      <w:r>
        <w:rPr>
          <w:rFonts w:ascii="Arial" w:hAnsi="Arial" w:cs="Arial"/>
          <w:sz w:val="20"/>
          <w:szCs w:val="20"/>
        </w:rPr>
        <w:t>.</w:t>
      </w:r>
    </w:p>
    <w:p w14:paraId="05AFE9E4" w14:textId="77777777" w:rsidR="00976C92" w:rsidRPr="00672401" w:rsidRDefault="00976C92" w:rsidP="00976C92">
      <w:pPr>
        <w:pStyle w:val="Heading5"/>
        <w:spacing w:line="360" w:lineRule="auto"/>
        <w:jc w:val="both"/>
        <w:rPr>
          <w:b w:val="0"/>
        </w:rPr>
      </w:pPr>
      <w:bookmarkStart w:id="287" w:name="_Toc62221583"/>
      <w:r>
        <w:t>SDG 7.1.1. Universal access to electricity</w:t>
      </w:r>
      <w:bookmarkEnd w:id="287"/>
    </w:p>
    <w:p w14:paraId="48AC9596" w14:textId="77777777" w:rsidR="00976C92" w:rsidRDefault="00976C92" w:rsidP="00976C92">
      <w:pPr>
        <w:spacing w:line="360" w:lineRule="auto"/>
        <w:jc w:val="both"/>
        <w:rPr>
          <w:rFonts w:ascii="Arial" w:eastAsia="Arial" w:hAnsi="Arial" w:cs="Arial"/>
          <w:sz w:val="20"/>
          <w:szCs w:val="20"/>
        </w:rPr>
      </w:pPr>
      <w:r>
        <w:rPr>
          <w:rFonts w:ascii="Arial" w:eastAsia="Arial" w:hAnsi="Arial" w:cs="Arial"/>
          <w:sz w:val="20"/>
          <w:szCs w:val="20"/>
        </w:rPr>
        <w:t>Off-grid solar home systems with battery energy storage were selected as the third option to achieve universal access to electricity. The connection cost is calculated at US$ 1,016 per household.</w:t>
      </w:r>
      <w:r>
        <w:t xml:space="preserve"> </w:t>
      </w:r>
      <w:r>
        <w:rPr>
          <w:rFonts w:ascii="Arial" w:eastAsia="Arial" w:hAnsi="Arial" w:cs="Arial"/>
          <w:sz w:val="20"/>
          <w:szCs w:val="20"/>
        </w:rPr>
        <w:t>Renewable energy based off-grid electrification is the least-cost option to provide electricity to the remaining population. This option will cost IDR 16.6 trillion (US$ 1.17 billion) and help to achieve universal access by 2020.</w:t>
      </w:r>
    </w:p>
    <w:p w14:paraId="1FF37974" w14:textId="77777777" w:rsidR="00976C92" w:rsidRDefault="00976C92" w:rsidP="00976C92">
      <w:pPr>
        <w:pStyle w:val="Heading5"/>
        <w:spacing w:line="360" w:lineRule="auto"/>
        <w:jc w:val="both"/>
      </w:pPr>
      <w:bookmarkStart w:id="288" w:name="_Toc62221584"/>
      <w:r>
        <w:t>SDG 7.1.2. Universal access to clean cooking</w:t>
      </w:r>
      <w:bookmarkEnd w:id="288"/>
    </w:p>
    <w:p w14:paraId="5A872870" w14:textId="77777777" w:rsidR="00976C92" w:rsidRDefault="00976C92" w:rsidP="00976C92">
      <w:pPr>
        <w:spacing w:line="360" w:lineRule="auto"/>
        <w:jc w:val="both"/>
        <w:rPr>
          <w:rFonts w:ascii="Arial" w:eastAsia="Arial" w:hAnsi="Arial" w:cs="Arial"/>
          <w:sz w:val="20"/>
          <w:szCs w:val="20"/>
        </w:rPr>
      </w:pPr>
      <w:r>
        <w:rPr>
          <w:rFonts w:ascii="Arial" w:eastAsia="Arial" w:hAnsi="Arial" w:cs="Arial"/>
          <w:sz w:val="20"/>
          <w:szCs w:val="20"/>
        </w:rPr>
        <w:t>Access to clean cooking fuels by using electric cooking stove technology is evaluated in this scenario. The intervention will substitute traditional biomass cooking stoves and cost IDR 568,400 (US$ 40) per household..</w:t>
      </w:r>
    </w:p>
    <w:p w14:paraId="0E272D9A" w14:textId="77777777" w:rsidR="00976C92" w:rsidRDefault="00976C92" w:rsidP="00976C92">
      <w:pPr>
        <w:spacing w:line="360" w:lineRule="auto"/>
        <w:jc w:val="both"/>
        <w:rPr>
          <w:rFonts w:ascii="Arial" w:eastAsia="Arial" w:hAnsi="Arial" w:cs="Arial"/>
          <w:sz w:val="20"/>
          <w:szCs w:val="20"/>
        </w:rPr>
      </w:pPr>
      <w:r>
        <w:rPr>
          <w:rFonts w:ascii="Arial" w:eastAsia="Arial" w:hAnsi="Arial" w:cs="Arial"/>
          <w:sz w:val="20"/>
          <w:szCs w:val="20"/>
        </w:rPr>
        <w:t>The implementation of this programme will cost the Government of Indonesia IDR 9.77 trillion (US$ 688 Million) to achieve universal access to clean fuels and technologies for cooking. The technology is classed as Level 5 in World Bank MTF for Indoor Air Quality Measurement. The capital cost of the technology varies from IDR 568,400-IDR 1,421,000 (US$ 40-US$ 100), and it has high efficiency (74% solid plate, 84% induction). Indonesia has surplus electricity generation and a shift towards electric cook stoves is a feasible solution.</w:t>
      </w:r>
    </w:p>
    <w:p w14:paraId="55D51F86" w14:textId="77777777" w:rsidR="00A031A6" w:rsidRDefault="00916FD0">
      <w:pPr>
        <w:pStyle w:val="Heading5"/>
        <w:spacing w:line="360" w:lineRule="auto"/>
        <w:jc w:val="both"/>
      </w:pPr>
      <w:bookmarkStart w:id="289" w:name="_Toc62221585"/>
      <w:r>
        <w:t>SDG 7.2. Renewable energy</w:t>
      </w:r>
      <w:bookmarkEnd w:id="289"/>
    </w:p>
    <w:p w14:paraId="6C27308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share of renewable energy in total final energy consumption will be 24.1% by 2030, which is the optimum share for ensuring the achievement of the other SDG 7 targets and the NDC constraints. </w:t>
      </w:r>
    </w:p>
    <w:p w14:paraId="367E2EAC" w14:textId="3CBCC39A"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Renewable energy generation is projected to increase significantly and contribute 68% of the total electricity generation in 2030, led by growth in hydropower, geothermal and solar power technologies. </w:t>
      </w:r>
    </w:p>
    <w:p w14:paraId="516C637A" w14:textId="77777777" w:rsidR="00976C92" w:rsidRDefault="00976C92" w:rsidP="00976C92">
      <w:pPr>
        <w:pStyle w:val="Heading5"/>
      </w:pPr>
      <w:bookmarkStart w:id="290" w:name="_Toc62221586"/>
      <w:r>
        <w:lastRenderedPageBreak/>
        <w:t>SDG 7.3. Energy Efficiency</w:t>
      </w:r>
      <w:bookmarkEnd w:id="290"/>
    </w:p>
    <w:p w14:paraId="46311590" w14:textId="77777777" w:rsidR="00976C92" w:rsidRPr="00D43E3B" w:rsidRDefault="00976C92" w:rsidP="00976C92">
      <w:pPr>
        <w:spacing w:line="360" w:lineRule="auto"/>
        <w:jc w:val="both"/>
        <w:rPr>
          <w:rFonts w:ascii="Arial" w:hAnsi="Arial" w:cs="Arial"/>
          <w:sz w:val="20"/>
          <w:szCs w:val="20"/>
        </w:rPr>
      </w:pPr>
      <w:r w:rsidRPr="00D43E3B">
        <w:rPr>
          <w:rFonts w:ascii="Arial" w:hAnsi="Arial" w:cs="Arial"/>
          <w:sz w:val="20"/>
          <w:szCs w:val="20"/>
        </w:rPr>
        <w:t>Achievement of the SDG 7 target of 2.39 MJ/US$ by 2030, will require 1.53 per cent reduction in energy intensity per year, up to 2030. This equates with reducing TFEC by 107 MBOE by 2030. The NEXSTEP analysis identified the following measures for supporting this reduction cost-effectively:</w:t>
      </w:r>
    </w:p>
    <w:p w14:paraId="641511C6"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Convert 50 per cent of passenger buses to electric buses by 2030, saving 35.5 million barrels of oil equivalent (BOE) annually;</w:t>
      </w:r>
    </w:p>
    <w:p w14:paraId="1757B851"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Convert 50 per cent of passenger cars to electric cars by 2030, saving 15.17 million BOE annually;</w:t>
      </w:r>
    </w:p>
    <w:p w14:paraId="1B46B7AC"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Change the wet process of clinker production in the cement industry to a pre-heated process using pre-calciner kilns, saving 13.7 million BOE annually;</w:t>
      </w:r>
    </w:p>
    <w:p w14:paraId="0300F676"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Introduce MEPS for all new lights from 2022 onwards to reduce CFL 14W to CFL 11W, saving 9.5 million BOE annually;</w:t>
      </w:r>
    </w:p>
    <w:p w14:paraId="56FBD074"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Improve fuel economy standards by 20 per cent for all heavy-duty vehicles from 2022 onwards, saving 9.3 million BOE annually;</w:t>
      </w:r>
    </w:p>
    <w:p w14:paraId="1578C5D7"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 xml:space="preserve">Introduce MEPS for all new air-conditioners from 2022 onwards, saving 4.9 million BOE annually; </w:t>
      </w:r>
    </w:p>
    <w:p w14:paraId="554A8F76" w14:textId="77777777" w:rsidR="00976C92" w:rsidRPr="00431ECD" w:rsidRDefault="00976C92" w:rsidP="00976C92">
      <w:pPr>
        <w:pStyle w:val="ListParagraph"/>
        <w:numPr>
          <w:ilvl w:val="0"/>
          <w:numId w:val="46"/>
        </w:numPr>
        <w:spacing w:line="360" w:lineRule="auto"/>
        <w:jc w:val="both"/>
        <w:rPr>
          <w:rFonts w:ascii="Arial" w:hAnsi="Arial" w:cs="Arial"/>
          <w:sz w:val="20"/>
          <w:szCs w:val="20"/>
        </w:rPr>
      </w:pPr>
      <w:r w:rsidRPr="00431ECD">
        <w:rPr>
          <w:rFonts w:ascii="Arial" w:hAnsi="Arial" w:cs="Arial"/>
          <w:sz w:val="20"/>
          <w:szCs w:val="20"/>
        </w:rPr>
        <w:t>Switch from traditional cooking to clean cooking (electric cooking stove), saving 19 million BOE annually.</w:t>
      </w:r>
    </w:p>
    <w:p w14:paraId="7362E86E" w14:textId="77777777" w:rsidR="00A031A6" w:rsidRDefault="00916FD0">
      <w:pPr>
        <w:pStyle w:val="Heading5"/>
        <w:spacing w:line="360" w:lineRule="auto"/>
        <w:jc w:val="both"/>
      </w:pPr>
      <w:bookmarkStart w:id="291" w:name="_Toc62221587"/>
      <w:r>
        <w:t>Investment required: IDR 2,868 trillion (US$ 202 billion).</w:t>
      </w:r>
      <w:bookmarkEnd w:id="291"/>
    </w:p>
    <w:p w14:paraId="347BB960" w14:textId="77777777" w:rsidR="00A031A6" w:rsidRDefault="00916FD0">
      <w:pPr>
        <w:spacing w:after="0" w:line="360" w:lineRule="auto"/>
        <w:jc w:val="both"/>
        <w:rPr>
          <w:rFonts w:ascii="Arial" w:eastAsia="Arial" w:hAnsi="Arial" w:cs="Arial"/>
          <w:sz w:val="20"/>
          <w:szCs w:val="20"/>
        </w:rPr>
      </w:pPr>
      <w:r>
        <w:rPr>
          <w:rFonts w:ascii="Arial" w:eastAsia="Arial" w:hAnsi="Arial" w:cs="Arial"/>
          <w:sz w:val="20"/>
          <w:szCs w:val="20"/>
        </w:rPr>
        <w:t>The total cost of this scenario is IDR 2,868 trillion (US$ 202 billion) by 2030. This includes costs of:</w:t>
      </w:r>
    </w:p>
    <w:p w14:paraId="098363A2" w14:textId="77777777" w:rsidR="00A031A6" w:rsidRDefault="00916FD0">
      <w:pPr>
        <w:numPr>
          <w:ilvl w:val="0"/>
          <w:numId w:val="5"/>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IDR 16.6 trillion (US$ 1.17 billion) to achieve access to electricity;</w:t>
      </w:r>
    </w:p>
    <w:p w14:paraId="1091E378" w14:textId="77777777" w:rsidR="00A031A6" w:rsidRDefault="00916FD0">
      <w:pPr>
        <w:numPr>
          <w:ilvl w:val="0"/>
          <w:numId w:val="5"/>
        </w:numPr>
        <w:pBdr>
          <w:top w:val="nil"/>
          <w:left w:val="nil"/>
          <w:bottom w:val="nil"/>
          <w:right w:val="nil"/>
          <w:between w:val="nil"/>
        </w:pBdr>
        <w:spacing w:after="0" w:line="360" w:lineRule="auto"/>
        <w:ind w:hanging="174"/>
        <w:jc w:val="both"/>
        <w:rPr>
          <w:color w:val="000000"/>
          <w:sz w:val="20"/>
          <w:szCs w:val="20"/>
        </w:rPr>
      </w:pPr>
      <w:r>
        <w:rPr>
          <w:rFonts w:ascii="Arial" w:eastAsia="Arial" w:hAnsi="Arial" w:cs="Arial"/>
          <w:color w:val="000000"/>
          <w:sz w:val="20"/>
          <w:szCs w:val="20"/>
        </w:rPr>
        <w:t>IDR 9.77 trillion (US$ 0.68 billion) to achieve access to clean cooking fuel;</w:t>
      </w:r>
    </w:p>
    <w:p w14:paraId="47D02D1D" w14:textId="020E7CBB" w:rsidR="00A031A6" w:rsidRPr="00976C92" w:rsidRDefault="00916FD0">
      <w:pPr>
        <w:numPr>
          <w:ilvl w:val="0"/>
          <w:numId w:val="5"/>
        </w:numPr>
        <w:pBdr>
          <w:top w:val="nil"/>
          <w:left w:val="nil"/>
          <w:bottom w:val="nil"/>
          <w:right w:val="nil"/>
          <w:between w:val="nil"/>
        </w:pBdr>
        <w:spacing w:line="360" w:lineRule="auto"/>
        <w:ind w:hanging="187"/>
        <w:jc w:val="both"/>
        <w:rPr>
          <w:color w:val="000000"/>
          <w:sz w:val="20"/>
          <w:szCs w:val="20"/>
        </w:rPr>
      </w:pPr>
      <w:r>
        <w:rPr>
          <w:rFonts w:ascii="Arial" w:eastAsia="Arial" w:hAnsi="Arial" w:cs="Arial"/>
          <w:color w:val="000000"/>
          <w:sz w:val="20"/>
          <w:szCs w:val="20"/>
        </w:rPr>
        <w:t>IDR 2,842 trillion (US$ 200 billion) to change the fuel mix in the power sector.</w:t>
      </w:r>
    </w:p>
    <w:p w14:paraId="75E4B01F" w14:textId="77777777" w:rsidR="00976C92" w:rsidRDefault="00976C92" w:rsidP="00976C92">
      <w:pPr>
        <w:pStyle w:val="Heading5"/>
      </w:pPr>
      <w:bookmarkStart w:id="292" w:name="_Toc62221588"/>
      <w:r w:rsidRPr="00A25A8E">
        <w:t>Total net benefits from the power sector</w:t>
      </w:r>
      <w:bookmarkEnd w:id="292"/>
    </w:p>
    <w:p w14:paraId="1E0C9233" w14:textId="77777777" w:rsidR="00976C92" w:rsidRDefault="00976C92" w:rsidP="00976C92">
      <w:pPr>
        <w:spacing w:line="360" w:lineRule="auto"/>
        <w:jc w:val="both"/>
        <w:rPr>
          <w:rFonts w:ascii="Arial" w:eastAsia="Arial" w:hAnsi="Arial" w:cs="Arial"/>
          <w:sz w:val="20"/>
          <w:szCs w:val="20"/>
        </w:rPr>
      </w:pPr>
      <w:r>
        <w:rPr>
          <w:rFonts w:ascii="Arial" w:eastAsia="Arial" w:hAnsi="Arial" w:cs="Arial"/>
          <w:sz w:val="20"/>
          <w:szCs w:val="20"/>
        </w:rPr>
        <w:t>The total net benefits from the power sector will be IDR 4,917 trillion (US$ 346 billion), more than IDR 1,620 trillion (US$ 114 billion) higher compared to the current policy scenario. This is because of the higher running fuel and O&amp;M costs of fossil fuel-based power plant lifetime costs.</w:t>
      </w:r>
    </w:p>
    <w:p w14:paraId="58A9160C" w14:textId="77777777" w:rsidR="00976C92" w:rsidRDefault="00976C92" w:rsidP="00976C92">
      <w:pPr>
        <w:pStyle w:val="Heading5"/>
        <w:spacing w:line="360" w:lineRule="auto"/>
        <w:jc w:val="both"/>
      </w:pPr>
      <w:bookmarkStart w:id="293" w:name="_Toc62221589"/>
      <w:r>
        <w:t>Fossil fuel subsidy</w:t>
      </w:r>
      <w:bookmarkEnd w:id="293"/>
    </w:p>
    <w:p w14:paraId="69BFA41F" w14:textId="77777777" w:rsidR="00976C92" w:rsidRDefault="00976C92" w:rsidP="00976C92">
      <w:pPr>
        <w:spacing w:line="360" w:lineRule="auto"/>
        <w:jc w:val="both"/>
        <w:rPr>
          <w:rFonts w:ascii="Arial" w:eastAsia="Arial" w:hAnsi="Arial" w:cs="Arial"/>
          <w:sz w:val="20"/>
          <w:szCs w:val="20"/>
        </w:rPr>
      </w:pPr>
      <w:r>
        <w:rPr>
          <w:rFonts w:ascii="Arial" w:eastAsia="Arial" w:hAnsi="Arial" w:cs="Arial"/>
          <w:sz w:val="20"/>
          <w:szCs w:val="20"/>
        </w:rPr>
        <w:t>The Government of Indonesia will spend IDR 1,008 trillion (US$ 71 billion) in 2020-2030, based on an annual fiscal cost of IDR 101 trillion (US$ 7.129 billion) (2017 estimate). Policy reform is required to abolish subsidies that encourage wasteful consumption.</w:t>
      </w:r>
    </w:p>
    <w:p w14:paraId="78082A53" w14:textId="77777777" w:rsidR="00976C92" w:rsidRDefault="00976C92" w:rsidP="00976C92">
      <w:pPr>
        <w:pStyle w:val="Heading5"/>
        <w:spacing w:line="360" w:lineRule="auto"/>
        <w:jc w:val="both"/>
      </w:pPr>
      <w:bookmarkStart w:id="294" w:name="_Toc62221590"/>
      <w:r>
        <w:t>Coal lock-in</w:t>
      </w:r>
      <w:bookmarkEnd w:id="294"/>
    </w:p>
    <w:p w14:paraId="6C4CB606" w14:textId="77777777" w:rsidR="00976C92" w:rsidRDefault="00976C92" w:rsidP="00976C92">
      <w:pPr>
        <w:spacing w:line="360" w:lineRule="auto"/>
        <w:jc w:val="both"/>
        <w:rPr>
          <w:rFonts w:ascii="Arial" w:hAnsi="Arial" w:cs="Arial"/>
          <w:sz w:val="20"/>
          <w:szCs w:val="20"/>
        </w:rPr>
      </w:pPr>
      <w:r w:rsidRPr="00124073">
        <w:rPr>
          <w:rFonts w:ascii="Arial" w:hAnsi="Arial" w:cs="Arial"/>
          <w:sz w:val="20"/>
          <w:szCs w:val="20"/>
        </w:rPr>
        <w:t xml:space="preserve">Coal-fired power plant capacity addition will be </w:t>
      </w:r>
      <w:r>
        <w:rPr>
          <w:rFonts w:ascii="Arial" w:hAnsi="Arial" w:cs="Arial"/>
          <w:sz w:val="20"/>
          <w:szCs w:val="20"/>
        </w:rPr>
        <w:t>eliminated</w:t>
      </w:r>
      <w:r w:rsidRPr="00124073">
        <w:rPr>
          <w:rFonts w:ascii="Arial" w:hAnsi="Arial" w:cs="Arial"/>
          <w:sz w:val="20"/>
          <w:szCs w:val="20"/>
        </w:rPr>
        <w:t xml:space="preserve">, compared to </w:t>
      </w:r>
      <w:r>
        <w:rPr>
          <w:rFonts w:ascii="Arial" w:hAnsi="Arial" w:cs="Arial"/>
          <w:sz w:val="20"/>
          <w:szCs w:val="20"/>
        </w:rPr>
        <w:t>27</w:t>
      </w:r>
      <w:r w:rsidRPr="00124073">
        <w:rPr>
          <w:rFonts w:ascii="Arial" w:hAnsi="Arial" w:cs="Arial"/>
          <w:sz w:val="20"/>
          <w:szCs w:val="20"/>
        </w:rPr>
        <w:t>GW capacity addition planned.</w:t>
      </w:r>
    </w:p>
    <w:p w14:paraId="55EFF864" w14:textId="77777777" w:rsidR="00976C92" w:rsidRDefault="00976C92" w:rsidP="00976C92">
      <w:pPr>
        <w:pStyle w:val="Heading5"/>
      </w:pPr>
      <w:bookmarkStart w:id="295" w:name="_Toc62221591"/>
      <w:r>
        <w:t>Energy balance</w:t>
      </w:r>
      <w:bookmarkEnd w:id="295"/>
    </w:p>
    <w:p w14:paraId="00D3CDCE" w14:textId="77777777" w:rsidR="00976C92" w:rsidRDefault="00976C92" w:rsidP="00976C92">
      <w:pPr>
        <w:pBdr>
          <w:top w:val="nil"/>
          <w:left w:val="nil"/>
          <w:bottom w:val="nil"/>
          <w:right w:val="nil"/>
          <w:between w:val="nil"/>
        </w:pBdr>
        <w:spacing w:line="360" w:lineRule="auto"/>
        <w:jc w:val="both"/>
        <w:rPr>
          <w:color w:val="000000"/>
          <w:sz w:val="20"/>
          <w:szCs w:val="20"/>
        </w:rPr>
      </w:pPr>
    </w:p>
    <w:p w14:paraId="185F860F" w14:textId="77777777" w:rsidR="00A031A6" w:rsidRDefault="00916FD0">
      <w:pPr>
        <w:pStyle w:val="Heading2"/>
        <w:numPr>
          <w:ilvl w:val="0"/>
          <w:numId w:val="13"/>
        </w:numPr>
      </w:pPr>
      <w:bookmarkStart w:id="296" w:name="_Toc62221592"/>
      <w:r>
        <w:lastRenderedPageBreak/>
        <w:t>Limitations of NEXSTEP</w:t>
      </w:r>
      <w:bookmarkEnd w:id="296"/>
    </w:p>
    <w:p w14:paraId="23A69CBB"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The NEXSTEP model for Indonesia covers the whole-energy system with analysis focused on achieving SDG 7 and NDC targets by 2030. However, the limitations of the study are outlined below:</w:t>
      </w:r>
    </w:p>
    <w:p w14:paraId="49D77D03"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Energy efficiency opportunities was limited in scope (due to data availability) – the results indicate that the opportunities are very good, and rigorous further analysis should be undertaken to identify further opportunities (e.g., building energy standards, MEPS for other appliances etc).</w:t>
      </w:r>
    </w:p>
    <w:p w14:paraId="6AE3B614"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Renewable energy – important considerations that are out of scope, such as the benefits of grid flexibility in reducing reliance on slow-ramp rate coal. At high penetrations of solar and wind, this is countered by inflexibility of those generator types (this may be a case for further grid reinforcement, including FCAS, transmission reinforcement, cross-border connectivity to Singapore and Malaysia etc)</w:t>
      </w:r>
    </w:p>
    <w:p w14:paraId="3CCCFCE0" w14:textId="77777777" w:rsidR="00A031A6" w:rsidRDefault="00A031A6">
      <w:pPr>
        <w:spacing w:line="360" w:lineRule="auto"/>
        <w:jc w:val="both"/>
        <w:rPr>
          <w:rFonts w:ascii="Arial" w:eastAsia="Arial" w:hAnsi="Arial" w:cs="Arial"/>
          <w:sz w:val="20"/>
          <w:szCs w:val="20"/>
        </w:rPr>
      </w:pPr>
    </w:p>
    <w:p w14:paraId="1F0DEE86" w14:textId="77777777" w:rsidR="00A031A6" w:rsidRDefault="00A031A6">
      <w:pPr>
        <w:spacing w:line="360" w:lineRule="auto"/>
        <w:jc w:val="both"/>
        <w:rPr>
          <w:rFonts w:ascii="Arial" w:eastAsia="Arial" w:hAnsi="Arial" w:cs="Arial"/>
          <w:sz w:val="20"/>
          <w:szCs w:val="20"/>
        </w:rPr>
      </w:pPr>
    </w:p>
    <w:p w14:paraId="748459A7" w14:textId="77777777" w:rsidR="00A031A6" w:rsidRDefault="00A031A6"/>
    <w:p w14:paraId="147046BE" w14:textId="77777777" w:rsidR="00A031A6" w:rsidRDefault="00A031A6"/>
    <w:p w14:paraId="3256B03B" w14:textId="77777777" w:rsidR="00A031A6" w:rsidRDefault="00A031A6"/>
    <w:p w14:paraId="42B38CAB" w14:textId="77777777" w:rsidR="00A031A6" w:rsidRDefault="00A031A6"/>
    <w:p w14:paraId="7D284FAA" w14:textId="77777777" w:rsidR="00A031A6" w:rsidRDefault="00A031A6"/>
    <w:p w14:paraId="0E851AE8" w14:textId="77777777" w:rsidR="00A031A6" w:rsidRDefault="00A031A6"/>
    <w:p w14:paraId="2365EA5C" w14:textId="77777777" w:rsidR="00A031A6" w:rsidRDefault="00A031A6"/>
    <w:p w14:paraId="17DC881E" w14:textId="77777777" w:rsidR="00A031A6" w:rsidRDefault="00A031A6"/>
    <w:p w14:paraId="025E9F53" w14:textId="77777777" w:rsidR="00A031A6" w:rsidRDefault="00A031A6"/>
    <w:p w14:paraId="0312DE04" w14:textId="77777777" w:rsidR="00A031A6" w:rsidRDefault="00A031A6"/>
    <w:p w14:paraId="05DBEF0A" w14:textId="77777777" w:rsidR="00A031A6" w:rsidRDefault="00A031A6"/>
    <w:p w14:paraId="616E03DB" w14:textId="77777777" w:rsidR="00A031A6" w:rsidRDefault="00A031A6"/>
    <w:p w14:paraId="5496C7BB" w14:textId="77777777" w:rsidR="00A031A6" w:rsidRDefault="00A031A6"/>
    <w:p w14:paraId="3779357D" w14:textId="77777777" w:rsidR="00A031A6" w:rsidRDefault="00A031A6"/>
    <w:p w14:paraId="4005CD1C" w14:textId="77777777" w:rsidR="00A031A6" w:rsidRDefault="00A031A6"/>
    <w:p w14:paraId="399A76B3" w14:textId="77777777" w:rsidR="00A031A6" w:rsidRDefault="00A031A6"/>
    <w:p w14:paraId="75C88E76" w14:textId="77777777" w:rsidR="00A031A6" w:rsidRDefault="00A031A6"/>
    <w:p w14:paraId="2A0E321D" w14:textId="77777777" w:rsidR="00A031A6" w:rsidRDefault="00A031A6"/>
    <w:p w14:paraId="7DA55614" w14:textId="6BCBBA9E" w:rsidR="00976C92" w:rsidRDefault="00976C92">
      <w:r>
        <w:br w:type="page"/>
      </w:r>
    </w:p>
    <w:p w14:paraId="01C33FE8" w14:textId="77777777" w:rsidR="00A031A6" w:rsidRDefault="00A031A6"/>
    <w:p w14:paraId="4AE42B69" w14:textId="77777777" w:rsidR="00A031A6" w:rsidRDefault="00916FD0">
      <w:pPr>
        <w:pStyle w:val="Heading2"/>
        <w:numPr>
          <w:ilvl w:val="0"/>
          <w:numId w:val="13"/>
        </w:numPr>
      </w:pPr>
      <w:bookmarkStart w:id="297" w:name="_Toc62221593"/>
      <w:r>
        <w:t>Stock-Turnover Analysis</w:t>
      </w:r>
      <w:bookmarkEnd w:id="297"/>
    </w:p>
    <w:p w14:paraId="2E623596"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The stock-turnover analysis for household appliances in Indonesia is modelled to analyse the energy savings from adopting minimum energy performance standards. </w:t>
      </w:r>
    </w:p>
    <w:p w14:paraId="08AE7830" w14:textId="77777777" w:rsidR="00A031A6" w:rsidRDefault="00916FD0">
      <w:pPr>
        <w:spacing w:line="360" w:lineRule="auto"/>
        <w:jc w:val="both"/>
        <w:rPr>
          <w:rFonts w:ascii="Arial" w:eastAsia="Arial" w:hAnsi="Arial" w:cs="Arial"/>
          <w:sz w:val="20"/>
          <w:szCs w:val="20"/>
        </w:rPr>
      </w:pPr>
      <w:r>
        <w:rPr>
          <w:rFonts w:ascii="Arial" w:eastAsia="Arial" w:hAnsi="Arial" w:cs="Arial"/>
          <w:sz w:val="20"/>
          <w:szCs w:val="20"/>
        </w:rPr>
        <w:t xml:space="preserve">Estimation of the stock of appliances in Indonesia: </w:t>
      </w:r>
    </w:p>
    <w:p w14:paraId="284581DC" w14:textId="77777777" w:rsidR="00A031A6" w:rsidRDefault="00916FD0">
      <w:pPr>
        <w:spacing w:line="360" w:lineRule="auto"/>
        <w:jc w:val="both"/>
      </w:pPr>
      <w:r>
        <w:rPr>
          <w:noProof/>
        </w:rPr>
        <mc:AlternateContent>
          <mc:Choice Requires="wps">
            <w:drawing>
              <wp:anchor distT="0" distB="0" distL="114300" distR="114300" simplePos="0" relativeHeight="251661312" behindDoc="0" locked="0" layoutInCell="1" hidden="0" allowOverlap="1" wp14:anchorId="2ABCAD1A" wp14:editId="2349882D">
                <wp:simplePos x="0" y="0"/>
                <wp:positionH relativeFrom="column">
                  <wp:posOffset>1</wp:posOffset>
                </wp:positionH>
                <wp:positionV relativeFrom="paragraph">
                  <wp:posOffset>0</wp:posOffset>
                </wp:positionV>
                <wp:extent cx="1726697" cy="191277"/>
                <wp:effectExtent l="0" t="0" r="0" b="0"/>
                <wp:wrapNone/>
                <wp:docPr id="7" name="Rectangle 7"/>
                <wp:cNvGraphicFramePr/>
                <a:graphic xmlns:a="http://schemas.openxmlformats.org/drawingml/2006/main">
                  <a:graphicData uri="http://schemas.microsoft.com/office/word/2010/wordprocessingShape">
                    <wps:wsp>
                      <wps:cNvSpPr/>
                      <wps:spPr>
                        <a:xfrm>
                          <a:off x="4492177" y="3693887"/>
                          <a:ext cx="1707647" cy="172227"/>
                        </a:xfrm>
                        <a:prstGeom prst="rect">
                          <a:avLst/>
                        </a:prstGeom>
                        <a:noFill/>
                        <a:ln>
                          <a:noFill/>
                        </a:ln>
                      </wps:spPr>
                      <wps:txbx>
                        <w:txbxContent>
                          <w:p w14:paraId="2A56152D"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2ABCAD1A" id="Rectangle 7" o:spid="_x0000_s1027" style="position:absolute;left:0;text-align:left;margin-left:0;margin-top:0;width:135.95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" filled="f" stroked="f">
                <v:textbox inset="0,0,0,0">
                  <w:txbxContent>
                    <w:p w14:paraId="2A56152D" w14:textId="77777777" w:rsidR="00672401" w:rsidRDefault="00672401">
                      <w:pPr>
                        <w:spacing w:line="258" w:lineRule="auto"/>
                        <w:textDirection w:val="btLr"/>
                      </w:pPr>
                    </w:p>
                  </w:txbxContent>
                </v:textbox>
              </v:rect>
            </w:pict>
          </mc:Fallback>
        </mc:AlternateContent>
      </w:r>
    </w:p>
    <w:p w14:paraId="0D93A626" w14:textId="77777777" w:rsidR="00A031A6" w:rsidRDefault="00916FD0">
      <w:pPr>
        <w:ind w:left="2160"/>
        <w:rPr>
          <w:rFonts w:ascii="Arial" w:eastAsia="Arial" w:hAnsi="Arial" w:cs="Arial"/>
          <w:sz w:val="20"/>
          <w:szCs w:val="20"/>
        </w:rPr>
      </w:pPr>
      <w:r>
        <w:rPr>
          <w:rFonts w:ascii="Arial" w:eastAsia="Arial" w:hAnsi="Arial" w:cs="Arial"/>
          <w:sz w:val="20"/>
          <w:szCs w:val="20"/>
        </w:rPr>
        <w:t xml:space="preserve">Total stock of appliances </w:t>
      </w:r>
      <w:r>
        <w:rPr>
          <w:rFonts w:ascii="Arial" w:eastAsia="Arial" w:hAnsi="Arial" w:cs="Arial"/>
          <w:i/>
          <w:sz w:val="20"/>
          <w:szCs w:val="20"/>
        </w:rPr>
        <w:t>i</w:t>
      </w:r>
      <w:r>
        <w:rPr>
          <w:rFonts w:ascii="Arial" w:eastAsia="Arial" w:hAnsi="Arial" w:cs="Arial"/>
          <w:sz w:val="20"/>
          <w:szCs w:val="20"/>
        </w:rPr>
        <w:t xml:space="preserve"> in year </w:t>
      </w:r>
      <w:r>
        <w:rPr>
          <w:rFonts w:ascii="Arial" w:eastAsia="Arial" w:hAnsi="Arial" w:cs="Arial"/>
          <w:i/>
          <w:sz w:val="20"/>
          <w:szCs w:val="20"/>
        </w:rPr>
        <w:t>t</w:t>
      </w:r>
      <w:r>
        <w:rPr>
          <w:rFonts w:ascii="Arial" w:eastAsia="Arial" w:hAnsi="Arial" w:cs="Arial"/>
          <w:sz w:val="20"/>
          <w:szCs w:val="20"/>
        </w:rPr>
        <w:t xml:space="preserve"> (unit)</w:t>
      </w:r>
      <w:r>
        <w:rPr>
          <w:noProof/>
        </w:rPr>
        <mc:AlternateContent>
          <mc:Choice Requires="wps">
            <w:drawing>
              <wp:anchor distT="0" distB="0" distL="114300" distR="114300" simplePos="0" relativeHeight="251662336" behindDoc="0" locked="0" layoutInCell="1" hidden="0" allowOverlap="1" wp14:anchorId="56F9F5FF" wp14:editId="4E5F14B2">
                <wp:simplePos x="0" y="0"/>
                <wp:positionH relativeFrom="column">
                  <wp:posOffset>1</wp:posOffset>
                </wp:positionH>
                <wp:positionV relativeFrom="paragraph">
                  <wp:posOffset>0</wp:posOffset>
                </wp:positionV>
                <wp:extent cx="620753" cy="191277"/>
                <wp:effectExtent l="0" t="0" r="0" b="0"/>
                <wp:wrapNone/>
                <wp:docPr id="10" name="Rectangle 10"/>
                <wp:cNvGraphicFramePr/>
                <a:graphic xmlns:a="http://schemas.openxmlformats.org/drawingml/2006/main">
                  <a:graphicData uri="http://schemas.microsoft.com/office/word/2010/wordprocessingShape">
                    <wps:wsp>
                      <wps:cNvSpPr/>
                      <wps:spPr>
                        <a:xfrm>
                          <a:off x="5045149" y="3693887"/>
                          <a:ext cx="601703" cy="172227"/>
                        </a:xfrm>
                        <a:prstGeom prst="rect">
                          <a:avLst/>
                        </a:prstGeom>
                        <a:noFill/>
                        <a:ln>
                          <a:noFill/>
                        </a:ln>
                      </wps:spPr>
                      <wps:txbx>
                        <w:txbxContent>
                          <w:p w14:paraId="4DBA708D"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56F9F5FF" id="Rectangle 10" o:spid="_x0000_s1028" style="position:absolute;left:0;text-align:left;margin-left:0;margin-top:0;width:48.9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" filled="f" stroked="f">
                <v:textbox inset="0,0,0,0">
                  <w:txbxContent>
                    <w:p w14:paraId="4DBA708D" w14:textId="77777777" w:rsidR="00672401" w:rsidRDefault="00672401">
                      <w:pPr>
                        <w:spacing w:line="258" w:lineRule="auto"/>
                        <w:textDirection w:val="btLr"/>
                      </w:pPr>
                    </w:p>
                  </w:txbxContent>
                </v:textbox>
              </v:rect>
            </w:pict>
          </mc:Fallback>
        </mc:AlternateContent>
      </w:r>
    </w:p>
    <w:p w14:paraId="7459AF62" w14:textId="77777777" w:rsidR="00A031A6" w:rsidRDefault="00916FD0">
      <w:pPr>
        <w:ind w:left="2160"/>
        <w:rPr>
          <w:rFonts w:ascii="Arial" w:eastAsia="Arial" w:hAnsi="Arial" w:cs="Arial"/>
          <w:sz w:val="20"/>
          <w:szCs w:val="20"/>
        </w:rPr>
      </w:pPr>
      <w:r>
        <w:rPr>
          <w:rFonts w:ascii="Arial" w:eastAsia="Arial" w:hAnsi="Arial" w:cs="Arial"/>
          <w:sz w:val="20"/>
          <w:szCs w:val="20"/>
        </w:rPr>
        <w:t xml:space="preserve">Ownership rate of appliance </w:t>
      </w:r>
      <w:r>
        <w:rPr>
          <w:rFonts w:ascii="Arial" w:eastAsia="Arial" w:hAnsi="Arial" w:cs="Arial"/>
          <w:i/>
          <w:sz w:val="20"/>
          <w:szCs w:val="20"/>
        </w:rPr>
        <w:t>i</w:t>
      </w:r>
      <w:r>
        <w:rPr>
          <w:rFonts w:ascii="Arial" w:eastAsia="Arial" w:hAnsi="Arial" w:cs="Arial"/>
          <w:sz w:val="20"/>
          <w:szCs w:val="20"/>
        </w:rPr>
        <w:t xml:space="preserve"> per household in year </w:t>
      </w:r>
      <w:r>
        <w:rPr>
          <w:rFonts w:ascii="Arial" w:eastAsia="Arial" w:hAnsi="Arial" w:cs="Arial"/>
          <w:i/>
          <w:sz w:val="20"/>
          <w:szCs w:val="20"/>
        </w:rPr>
        <w:t>t</w:t>
      </w:r>
      <w:r>
        <w:rPr>
          <w:rFonts w:ascii="Arial" w:eastAsia="Arial" w:hAnsi="Arial" w:cs="Arial"/>
          <w:sz w:val="20"/>
          <w:szCs w:val="20"/>
        </w:rPr>
        <w:t xml:space="preserve"> (%)</w:t>
      </w:r>
      <w:r>
        <w:rPr>
          <w:noProof/>
        </w:rPr>
        <mc:AlternateContent>
          <mc:Choice Requires="wps">
            <w:drawing>
              <wp:anchor distT="0" distB="0" distL="114300" distR="114300" simplePos="0" relativeHeight="251663360" behindDoc="0" locked="0" layoutInCell="1" hidden="0" allowOverlap="1" wp14:anchorId="30A9E16F" wp14:editId="003A20F7">
                <wp:simplePos x="0" y="0"/>
                <wp:positionH relativeFrom="column">
                  <wp:posOffset>1</wp:posOffset>
                </wp:positionH>
                <wp:positionV relativeFrom="paragraph">
                  <wp:posOffset>0</wp:posOffset>
                </wp:positionV>
                <wp:extent cx="361315" cy="759350"/>
                <wp:effectExtent l="0" t="0" r="0" b="0"/>
                <wp:wrapNone/>
                <wp:docPr id="9" name="Rectangle 9"/>
                <wp:cNvGraphicFramePr/>
                <a:graphic xmlns:a="http://schemas.openxmlformats.org/drawingml/2006/main">
                  <a:graphicData uri="http://schemas.microsoft.com/office/word/2010/wordprocessingShape">
                    <wps:wsp>
                      <wps:cNvSpPr/>
                      <wps:spPr>
                        <a:xfrm>
                          <a:off x="5174868" y="3409850"/>
                          <a:ext cx="342265" cy="740300"/>
                        </a:xfrm>
                        <a:prstGeom prst="rect">
                          <a:avLst/>
                        </a:prstGeom>
                        <a:noFill/>
                        <a:ln>
                          <a:noFill/>
                        </a:ln>
                      </wps:spPr>
                      <wps:txbx>
                        <w:txbxContent>
                          <w:p w14:paraId="3F67A337"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30A9E16F" id="Rectangle 9" o:spid="_x0000_s1029" style="position:absolute;left:0;text-align:left;margin-left:0;margin-top:0;width:28.45pt;height:59.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" filled="f" stroked="f">
                <v:textbox inset="0,0,0,0">
                  <w:txbxContent>
                    <w:p w14:paraId="3F67A337" w14:textId="77777777" w:rsidR="00672401" w:rsidRDefault="00672401">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510F5BB4" wp14:editId="553DD62B">
                <wp:simplePos x="0" y="0"/>
                <wp:positionH relativeFrom="column">
                  <wp:posOffset>1</wp:posOffset>
                </wp:positionH>
                <wp:positionV relativeFrom="paragraph">
                  <wp:posOffset>266700</wp:posOffset>
                </wp:positionV>
                <wp:extent cx="436245" cy="191135"/>
                <wp:effectExtent l="0" t="0" r="0" b="0"/>
                <wp:wrapNone/>
                <wp:docPr id="4" name="Rectangle 4"/>
                <wp:cNvGraphicFramePr/>
                <a:graphic xmlns:a="http://schemas.openxmlformats.org/drawingml/2006/main">
                  <a:graphicData uri="http://schemas.microsoft.com/office/word/2010/wordprocessingShape">
                    <wps:wsp>
                      <wps:cNvSpPr/>
                      <wps:spPr>
                        <a:xfrm>
                          <a:off x="5137403" y="3693958"/>
                          <a:ext cx="417195" cy="172085"/>
                        </a:xfrm>
                        <a:prstGeom prst="rect">
                          <a:avLst/>
                        </a:prstGeom>
                        <a:noFill/>
                        <a:ln>
                          <a:noFill/>
                        </a:ln>
                      </wps:spPr>
                      <wps:txbx>
                        <w:txbxContent>
                          <w:p w14:paraId="7BDBC11F"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510F5BB4" id="Rectangle 4" o:spid="_x0000_s1030" style="position:absolute;left:0;text-align:left;margin-left:0;margin-top:21pt;width:34.35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" filled="f" stroked="f">
                <v:textbox inset="0,0,0,0">
                  <w:txbxContent>
                    <w:p w14:paraId="7BDBC11F" w14:textId="77777777" w:rsidR="00672401" w:rsidRDefault="00672401">
                      <w:pPr>
                        <w:spacing w:line="258" w:lineRule="auto"/>
                        <w:textDirection w:val="btLr"/>
                      </w:pPr>
                    </w:p>
                  </w:txbxContent>
                </v:textbox>
              </v:rect>
            </w:pict>
          </mc:Fallback>
        </mc:AlternateContent>
      </w:r>
    </w:p>
    <w:p w14:paraId="2FAA298E" w14:textId="77777777" w:rsidR="00A031A6" w:rsidRDefault="00916FD0">
      <w:pPr>
        <w:spacing w:after="240"/>
        <w:ind w:left="2160"/>
        <w:rPr>
          <w:rFonts w:ascii="Arial" w:eastAsia="Arial" w:hAnsi="Arial" w:cs="Arial"/>
          <w:sz w:val="20"/>
          <w:szCs w:val="20"/>
        </w:rPr>
      </w:pPr>
      <w:r>
        <w:rPr>
          <w:rFonts w:ascii="Arial" w:eastAsia="Arial" w:hAnsi="Arial" w:cs="Arial"/>
          <w:sz w:val="20"/>
          <w:szCs w:val="20"/>
        </w:rPr>
        <w:t xml:space="preserve">Number of households in year </w:t>
      </w:r>
      <w:r>
        <w:rPr>
          <w:rFonts w:ascii="Arial" w:eastAsia="Arial" w:hAnsi="Arial" w:cs="Arial"/>
          <w:i/>
          <w:sz w:val="20"/>
          <w:szCs w:val="20"/>
        </w:rPr>
        <w:t>t</w:t>
      </w:r>
      <w:r>
        <w:rPr>
          <w:rFonts w:ascii="Arial" w:eastAsia="Arial" w:hAnsi="Arial" w:cs="Arial"/>
          <w:sz w:val="20"/>
          <w:szCs w:val="20"/>
        </w:rPr>
        <w:t xml:space="preserve"> (household)</w:t>
      </w:r>
    </w:p>
    <w:p w14:paraId="2E08F63E" w14:textId="77777777" w:rsidR="00A031A6" w:rsidRDefault="00916FD0">
      <w:pPr>
        <w:keepNext/>
        <w:pBdr>
          <w:top w:val="nil"/>
          <w:left w:val="nil"/>
          <w:bottom w:val="nil"/>
          <w:right w:val="nil"/>
          <w:between w:val="nil"/>
        </w:pBdr>
        <w:spacing w:after="120" w:line="240" w:lineRule="auto"/>
        <w:jc w:val="center"/>
        <w:rPr>
          <w:rFonts w:ascii="Arial" w:eastAsia="Arial" w:hAnsi="Arial" w:cs="Arial"/>
          <w:b/>
          <w:color w:val="000000"/>
          <w:sz w:val="20"/>
          <w:szCs w:val="20"/>
        </w:rPr>
      </w:pPr>
      <w:bookmarkStart w:id="298" w:name="_1l354xk" w:colFirst="0" w:colLast="0"/>
      <w:bookmarkEnd w:id="298"/>
      <w:r>
        <w:rPr>
          <w:rFonts w:ascii="Arial" w:eastAsia="Arial" w:hAnsi="Arial" w:cs="Arial"/>
          <w:b/>
          <w:color w:val="000000"/>
          <w:sz w:val="20"/>
          <w:szCs w:val="20"/>
        </w:rPr>
        <w:t>Table 23. Estimate of stock count in Indonesia</w:t>
      </w:r>
    </w:p>
    <w:tbl>
      <w:tblPr>
        <w:tblStyle w:val="afa"/>
        <w:tblW w:w="9072" w:type="dxa"/>
        <w:tblLayout w:type="fixed"/>
        <w:tblLook w:val="0400" w:firstRow="0" w:lastRow="0" w:firstColumn="0" w:lastColumn="0" w:noHBand="0" w:noVBand="1"/>
      </w:tblPr>
      <w:tblGrid>
        <w:gridCol w:w="2268"/>
        <w:gridCol w:w="2268"/>
        <w:gridCol w:w="2268"/>
        <w:gridCol w:w="2268"/>
      </w:tblGrid>
      <w:tr w:rsidR="00A031A6" w14:paraId="113C8020" w14:textId="77777777">
        <w:trPr>
          <w:trHeight w:val="285"/>
        </w:trPr>
        <w:tc>
          <w:tcPr>
            <w:tcW w:w="226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28DB7135" w14:textId="77777777" w:rsidR="00A031A6" w:rsidRDefault="00916FD0">
            <w:pPr>
              <w:rPr>
                <w:rFonts w:ascii="Arial" w:eastAsia="Arial" w:hAnsi="Arial" w:cs="Arial"/>
                <w:color w:val="FFFFFF"/>
                <w:sz w:val="18"/>
                <w:szCs w:val="18"/>
              </w:rPr>
            </w:pPr>
            <w:r>
              <w:rPr>
                <w:rFonts w:ascii="Arial" w:eastAsia="Arial" w:hAnsi="Arial" w:cs="Arial"/>
                <w:color w:val="FFFFFF"/>
                <w:sz w:val="18"/>
                <w:szCs w:val="18"/>
              </w:rPr>
              <w:t>Urban</w:t>
            </w:r>
          </w:p>
        </w:tc>
        <w:tc>
          <w:tcPr>
            <w:tcW w:w="2268" w:type="dxa"/>
            <w:tcBorders>
              <w:top w:val="single" w:sz="4" w:space="0" w:color="000000"/>
              <w:left w:val="nil"/>
              <w:bottom w:val="single" w:sz="4" w:space="0" w:color="000000"/>
              <w:right w:val="single" w:sz="4" w:space="0" w:color="000000"/>
            </w:tcBorders>
            <w:shd w:val="clear" w:color="auto" w:fill="808080"/>
            <w:vAlign w:val="center"/>
          </w:tcPr>
          <w:p w14:paraId="0592B914" w14:textId="77777777"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Ownership rate (2018)</w:t>
            </w:r>
          </w:p>
        </w:tc>
        <w:tc>
          <w:tcPr>
            <w:tcW w:w="2268" w:type="dxa"/>
            <w:tcBorders>
              <w:top w:val="single" w:sz="4" w:space="0" w:color="000000"/>
              <w:left w:val="nil"/>
              <w:bottom w:val="single" w:sz="4" w:space="0" w:color="000000"/>
              <w:right w:val="single" w:sz="4" w:space="0" w:color="000000"/>
            </w:tcBorders>
            <w:shd w:val="clear" w:color="auto" w:fill="808080"/>
            <w:vAlign w:val="center"/>
          </w:tcPr>
          <w:p w14:paraId="68D2D7EE" w14:textId="77777777"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No. of appliances per HH</w:t>
            </w:r>
          </w:p>
        </w:tc>
        <w:tc>
          <w:tcPr>
            <w:tcW w:w="2268" w:type="dxa"/>
            <w:tcBorders>
              <w:top w:val="single" w:sz="4" w:space="0" w:color="000000"/>
              <w:left w:val="nil"/>
              <w:bottom w:val="single" w:sz="4" w:space="0" w:color="000000"/>
              <w:right w:val="single" w:sz="4" w:space="0" w:color="000000"/>
            </w:tcBorders>
            <w:shd w:val="clear" w:color="auto" w:fill="808080"/>
            <w:vAlign w:val="bottom"/>
          </w:tcPr>
          <w:p w14:paraId="7BB2B0FB" w14:textId="77777777"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Stock</w:t>
            </w:r>
          </w:p>
        </w:tc>
      </w:tr>
      <w:tr w:rsidR="00A031A6" w14:paraId="0516F9F5"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590C17AD"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Air conditioners</w:t>
            </w:r>
          </w:p>
        </w:tc>
        <w:tc>
          <w:tcPr>
            <w:tcW w:w="2268" w:type="dxa"/>
            <w:tcBorders>
              <w:top w:val="nil"/>
              <w:left w:val="nil"/>
              <w:bottom w:val="single" w:sz="4" w:space="0" w:color="000000"/>
              <w:right w:val="single" w:sz="4" w:space="0" w:color="000000"/>
            </w:tcBorders>
            <w:vAlign w:val="center"/>
          </w:tcPr>
          <w:p w14:paraId="3FF52FB3"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24%</w:t>
            </w:r>
          </w:p>
        </w:tc>
        <w:tc>
          <w:tcPr>
            <w:tcW w:w="2268" w:type="dxa"/>
            <w:tcBorders>
              <w:top w:val="nil"/>
              <w:left w:val="nil"/>
              <w:bottom w:val="single" w:sz="4" w:space="0" w:color="000000"/>
              <w:right w:val="single" w:sz="4" w:space="0" w:color="000000"/>
            </w:tcBorders>
            <w:vAlign w:val="center"/>
          </w:tcPr>
          <w:p w14:paraId="3C33B66D"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26EA499E"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7,289,147</w:t>
            </w:r>
          </w:p>
        </w:tc>
      </w:tr>
      <w:tr w:rsidR="00A031A6" w14:paraId="4DAD504E"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5D7FF163"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Lighting - CFL</w:t>
            </w:r>
          </w:p>
        </w:tc>
        <w:tc>
          <w:tcPr>
            <w:tcW w:w="2268" w:type="dxa"/>
            <w:tcBorders>
              <w:top w:val="nil"/>
              <w:left w:val="nil"/>
              <w:bottom w:val="single" w:sz="4" w:space="0" w:color="000000"/>
              <w:right w:val="single" w:sz="4" w:space="0" w:color="000000"/>
            </w:tcBorders>
            <w:vAlign w:val="center"/>
          </w:tcPr>
          <w:p w14:paraId="105C4473"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14:paraId="3EBAAF51"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w:t>
            </w:r>
          </w:p>
        </w:tc>
        <w:tc>
          <w:tcPr>
            <w:tcW w:w="2268" w:type="dxa"/>
            <w:tcBorders>
              <w:top w:val="nil"/>
              <w:left w:val="nil"/>
              <w:bottom w:val="single" w:sz="4" w:space="0" w:color="000000"/>
              <w:right w:val="single" w:sz="4" w:space="0" w:color="000000"/>
            </w:tcBorders>
            <w:shd w:val="clear" w:color="auto" w:fill="D0CECE"/>
            <w:vAlign w:val="bottom"/>
          </w:tcPr>
          <w:p w14:paraId="1AE49177"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151,857,238</w:t>
            </w:r>
          </w:p>
        </w:tc>
      </w:tr>
      <w:tr w:rsidR="00A031A6" w14:paraId="4E358D92"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3A2A302C"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Refrigerator</w:t>
            </w:r>
          </w:p>
        </w:tc>
        <w:tc>
          <w:tcPr>
            <w:tcW w:w="2268" w:type="dxa"/>
            <w:tcBorders>
              <w:top w:val="nil"/>
              <w:left w:val="nil"/>
              <w:bottom w:val="single" w:sz="4" w:space="0" w:color="000000"/>
              <w:right w:val="single" w:sz="4" w:space="0" w:color="000000"/>
            </w:tcBorders>
            <w:vAlign w:val="center"/>
          </w:tcPr>
          <w:p w14:paraId="7F86E81D"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36%</w:t>
            </w:r>
          </w:p>
        </w:tc>
        <w:tc>
          <w:tcPr>
            <w:tcW w:w="2268" w:type="dxa"/>
            <w:tcBorders>
              <w:top w:val="nil"/>
              <w:left w:val="nil"/>
              <w:bottom w:val="single" w:sz="4" w:space="0" w:color="000000"/>
              <w:right w:val="single" w:sz="4" w:space="0" w:color="000000"/>
            </w:tcBorders>
            <w:vAlign w:val="center"/>
          </w:tcPr>
          <w:p w14:paraId="7583A275"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55FC6182"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10,933,721</w:t>
            </w:r>
          </w:p>
        </w:tc>
      </w:tr>
      <w:tr w:rsidR="00A031A6" w14:paraId="2B156640"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7784EF9B"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Television</w:t>
            </w:r>
          </w:p>
        </w:tc>
        <w:tc>
          <w:tcPr>
            <w:tcW w:w="2268" w:type="dxa"/>
            <w:tcBorders>
              <w:top w:val="nil"/>
              <w:left w:val="nil"/>
              <w:bottom w:val="single" w:sz="4" w:space="0" w:color="000000"/>
              <w:right w:val="single" w:sz="4" w:space="0" w:color="000000"/>
            </w:tcBorders>
            <w:vAlign w:val="center"/>
          </w:tcPr>
          <w:p w14:paraId="41E8F7C8"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14:paraId="217691D8"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5CC5CB4E"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30,371,448</w:t>
            </w:r>
          </w:p>
        </w:tc>
      </w:tr>
      <w:tr w:rsidR="00A031A6" w14:paraId="34AA7120"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6F0062D7"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Fans</w:t>
            </w:r>
          </w:p>
        </w:tc>
        <w:tc>
          <w:tcPr>
            <w:tcW w:w="2268" w:type="dxa"/>
            <w:tcBorders>
              <w:top w:val="nil"/>
              <w:left w:val="nil"/>
              <w:bottom w:val="single" w:sz="4" w:space="0" w:color="000000"/>
              <w:right w:val="single" w:sz="4" w:space="0" w:color="000000"/>
            </w:tcBorders>
            <w:vAlign w:val="center"/>
          </w:tcPr>
          <w:p w14:paraId="7CDCB7C8"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96%</w:t>
            </w:r>
          </w:p>
        </w:tc>
        <w:tc>
          <w:tcPr>
            <w:tcW w:w="2268" w:type="dxa"/>
            <w:tcBorders>
              <w:top w:val="nil"/>
              <w:left w:val="nil"/>
              <w:bottom w:val="single" w:sz="4" w:space="0" w:color="000000"/>
              <w:right w:val="single" w:sz="4" w:space="0" w:color="000000"/>
            </w:tcBorders>
            <w:vAlign w:val="center"/>
          </w:tcPr>
          <w:p w14:paraId="3A83603A"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5D0F728D"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29,156,590</w:t>
            </w:r>
          </w:p>
        </w:tc>
      </w:tr>
      <w:tr w:rsidR="00A031A6" w14:paraId="0A8358C2"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09C2B3AB"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Washing machine</w:t>
            </w:r>
          </w:p>
        </w:tc>
        <w:tc>
          <w:tcPr>
            <w:tcW w:w="2268" w:type="dxa"/>
            <w:tcBorders>
              <w:top w:val="nil"/>
              <w:left w:val="nil"/>
              <w:bottom w:val="single" w:sz="4" w:space="0" w:color="000000"/>
              <w:right w:val="single" w:sz="4" w:space="0" w:color="000000"/>
            </w:tcBorders>
            <w:vAlign w:val="center"/>
          </w:tcPr>
          <w:p w14:paraId="0D734ED6"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33%</w:t>
            </w:r>
          </w:p>
        </w:tc>
        <w:tc>
          <w:tcPr>
            <w:tcW w:w="2268" w:type="dxa"/>
            <w:tcBorders>
              <w:top w:val="nil"/>
              <w:left w:val="nil"/>
              <w:bottom w:val="single" w:sz="4" w:space="0" w:color="000000"/>
              <w:right w:val="single" w:sz="4" w:space="0" w:color="000000"/>
            </w:tcBorders>
            <w:vAlign w:val="center"/>
          </w:tcPr>
          <w:p w14:paraId="1BA42590"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0341B32C"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10,022,578</w:t>
            </w:r>
          </w:p>
        </w:tc>
      </w:tr>
      <w:tr w:rsidR="00A031A6" w14:paraId="248CF8B0"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6BF0BFAD"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Water pump</w:t>
            </w:r>
          </w:p>
        </w:tc>
        <w:tc>
          <w:tcPr>
            <w:tcW w:w="2268" w:type="dxa"/>
            <w:tcBorders>
              <w:top w:val="nil"/>
              <w:left w:val="nil"/>
              <w:bottom w:val="single" w:sz="4" w:space="0" w:color="000000"/>
              <w:right w:val="single" w:sz="4" w:space="0" w:color="000000"/>
            </w:tcBorders>
            <w:vAlign w:val="center"/>
          </w:tcPr>
          <w:p w14:paraId="0DF63F56"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51%</w:t>
            </w:r>
          </w:p>
        </w:tc>
        <w:tc>
          <w:tcPr>
            <w:tcW w:w="2268" w:type="dxa"/>
            <w:tcBorders>
              <w:top w:val="nil"/>
              <w:left w:val="nil"/>
              <w:bottom w:val="single" w:sz="4" w:space="0" w:color="000000"/>
              <w:right w:val="single" w:sz="4" w:space="0" w:color="000000"/>
            </w:tcBorders>
            <w:vAlign w:val="center"/>
          </w:tcPr>
          <w:p w14:paraId="3AE8755F"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02EBA105"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15,489,438</w:t>
            </w:r>
          </w:p>
        </w:tc>
      </w:tr>
      <w:tr w:rsidR="00A031A6" w14:paraId="3388F236" w14:textId="77777777">
        <w:trPr>
          <w:trHeight w:val="285"/>
        </w:trPr>
        <w:tc>
          <w:tcPr>
            <w:tcW w:w="2268" w:type="dxa"/>
            <w:tcBorders>
              <w:top w:val="nil"/>
              <w:left w:val="nil"/>
              <w:bottom w:val="nil"/>
              <w:right w:val="nil"/>
            </w:tcBorders>
            <w:shd w:val="clear" w:color="auto" w:fill="FFFFFF"/>
            <w:vAlign w:val="bottom"/>
          </w:tcPr>
          <w:p w14:paraId="4F2D306F"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 </w:t>
            </w:r>
          </w:p>
        </w:tc>
        <w:tc>
          <w:tcPr>
            <w:tcW w:w="2268" w:type="dxa"/>
            <w:tcBorders>
              <w:top w:val="nil"/>
              <w:left w:val="nil"/>
              <w:bottom w:val="nil"/>
              <w:right w:val="nil"/>
            </w:tcBorders>
            <w:shd w:val="clear" w:color="auto" w:fill="FFFFFF"/>
            <w:vAlign w:val="center"/>
          </w:tcPr>
          <w:p w14:paraId="13A80185" w14:textId="77777777" w:rsidR="00A031A6" w:rsidRDefault="00A031A6">
            <w:pPr>
              <w:ind w:right="521"/>
              <w:jc w:val="center"/>
              <w:rPr>
                <w:rFonts w:ascii="Arial" w:eastAsia="Arial" w:hAnsi="Arial" w:cs="Arial"/>
                <w:color w:val="000000"/>
                <w:sz w:val="18"/>
                <w:szCs w:val="18"/>
              </w:rPr>
            </w:pPr>
          </w:p>
        </w:tc>
        <w:tc>
          <w:tcPr>
            <w:tcW w:w="2268" w:type="dxa"/>
            <w:tcBorders>
              <w:top w:val="nil"/>
              <w:left w:val="nil"/>
              <w:bottom w:val="nil"/>
              <w:right w:val="nil"/>
            </w:tcBorders>
            <w:shd w:val="clear" w:color="auto" w:fill="FFFFFF"/>
            <w:vAlign w:val="center"/>
          </w:tcPr>
          <w:p w14:paraId="2F4F1413" w14:textId="77777777" w:rsidR="00A031A6" w:rsidRDefault="00A031A6">
            <w:pPr>
              <w:ind w:right="521"/>
              <w:jc w:val="center"/>
              <w:rPr>
                <w:rFonts w:ascii="Arial" w:eastAsia="Arial" w:hAnsi="Arial" w:cs="Arial"/>
                <w:color w:val="000000"/>
                <w:sz w:val="18"/>
                <w:szCs w:val="18"/>
              </w:rPr>
            </w:pPr>
          </w:p>
        </w:tc>
        <w:tc>
          <w:tcPr>
            <w:tcW w:w="2268" w:type="dxa"/>
            <w:tcBorders>
              <w:top w:val="nil"/>
              <w:left w:val="nil"/>
              <w:bottom w:val="nil"/>
              <w:right w:val="nil"/>
            </w:tcBorders>
            <w:shd w:val="clear" w:color="auto" w:fill="FFFFFF"/>
            <w:vAlign w:val="bottom"/>
          </w:tcPr>
          <w:p w14:paraId="07C1DEB1"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 </w:t>
            </w:r>
          </w:p>
        </w:tc>
      </w:tr>
      <w:tr w:rsidR="00A031A6" w14:paraId="49EF8F38" w14:textId="77777777">
        <w:trPr>
          <w:trHeight w:val="285"/>
        </w:trPr>
        <w:tc>
          <w:tcPr>
            <w:tcW w:w="226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27C0C727" w14:textId="77777777" w:rsidR="00A031A6" w:rsidRDefault="00916FD0">
            <w:pPr>
              <w:ind w:right="521"/>
              <w:rPr>
                <w:rFonts w:ascii="Arial" w:eastAsia="Arial" w:hAnsi="Arial" w:cs="Arial"/>
                <w:color w:val="FFFFFF"/>
                <w:sz w:val="18"/>
                <w:szCs w:val="18"/>
              </w:rPr>
            </w:pPr>
            <w:r>
              <w:rPr>
                <w:rFonts w:ascii="Arial" w:eastAsia="Arial" w:hAnsi="Arial" w:cs="Arial"/>
                <w:color w:val="FFFFFF"/>
                <w:sz w:val="18"/>
                <w:szCs w:val="18"/>
              </w:rPr>
              <w:t>Rural</w:t>
            </w:r>
          </w:p>
        </w:tc>
        <w:tc>
          <w:tcPr>
            <w:tcW w:w="2268" w:type="dxa"/>
            <w:tcBorders>
              <w:top w:val="single" w:sz="4" w:space="0" w:color="000000"/>
              <w:left w:val="nil"/>
              <w:bottom w:val="single" w:sz="4" w:space="0" w:color="000000"/>
              <w:right w:val="single" w:sz="4" w:space="0" w:color="000000"/>
            </w:tcBorders>
            <w:shd w:val="clear" w:color="auto" w:fill="808080"/>
            <w:vAlign w:val="center"/>
          </w:tcPr>
          <w:p w14:paraId="29A4EC3A" w14:textId="77777777" w:rsidR="00A031A6" w:rsidRDefault="00916FD0">
            <w:pPr>
              <w:ind w:right="521"/>
              <w:jc w:val="center"/>
              <w:rPr>
                <w:rFonts w:ascii="Arial" w:eastAsia="Arial" w:hAnsi="Arial" w:cs="Arial"/>
                <w:color w:val="FFFFFF"/>
                <w:sz w:val="18"/>
                <w:szCs w:val="18"/>
              </w:rPr>
            </w:pPr>
            <w:r>
              <w:rPr>
                <w:rFonts w:ascii="Arial" w:eastAsia="Arial" w:hAnsi="Arial" w:cs="Arial"/>
                <w:color w:val="FFFFFF"/>
                <w:sz w:val="18"/>
                <w:szCs w:val="18"/>
              </w:rPr>
              <w:t>Ownership rate (2018)</w:t>
            </w:r>
          </w:p>
        </w:tc>
        <w:tc>
          <w:tcPr>
            <w:tcW w:w="2268" w:type="dxa"/>
            <w:tcBorders>
              <w:top w:val="single" w:sz="4" w:space="0" w:color="000000"/>
              <w:left w:val="nil"/>
              <w:bottom w:val="single" w:sz="4" w:space="0" w:color="000000"/>
              <w:right w:val="single" w:sz="4" w:space="0" w:color="000000"/>
            </w:tcBorders>
            <w:shd w:val="clear" w:color="auto" w:fill="808080"/>
            <w:vAlign w:val="center"/>
          </w:tcPr>
          <w:p w14:paraId="3707245E" w14:textId="77777777" w:rsidR="00A031A6" w:rsidRDefault="00916FD0">
            <w:pPr>
              <w:ind w:right="521"/>
              <w:jc w:val="center"/>
              <w:rPr>
                <w:rFonts w:ascii="Arial" w:eastAsia="Arial" w:hAnsi="Arial" w:cs="Arial"/>
                <w:color w:val="FFFFFF"/>
                <w:sz w:val="18"/>
                <w:szCs w:val="18"/>
              </w:rPr>
            </w:pPr>
            <w:r>
              <w:rPr>
                <w:rFonts w:ascii="Arial" w:eastAsia="Arial" w:hAnsi="Arial" w:cs="Arial"/>
                <w:color w:val="FFFFFF"/>
                <w:sz w:val="18"/>
                <w:szCs w:val="18"/>
              </w:rPr>
              <w:t>No. of appliances per HH</w:t>
            </w:r>
          </w:p>
        </w:tc>
        <w:tc>
          <w:tcPr>
            <w:tcW w:w="2268" w:type="dxa"/>
            <w:tcBorders>
              <w:top w:val="single" w:sz="4" w:space="0" w:color="000000"/>
              <w:left w:val="nil"/>
              <w:bottom w:val="single" w:sz="4" w:space="0" w:color="000000"/>
              <w:right w:val="single" w:sz="4" w:space="0" w:color="000000"/>
            </w:tcBorders>
            <w:shd w:val="clear" w:color="auto" w:fill="808080"/>
            <w:vAlign w:val="bottom"/>
          </w:tcPr>
          <w:p w14:paraId="280B05F0" w14:textId="77777777" w:rsidR="00A031A6" w:rsidRDefault="00916FD0">
            <w:pPr>
              <w:jc w:val="center"/>
              <w:rPr>
                <w:rFonts w:ascii="Arial" w:eastAsia="Arial" w:hAnsi="Arial" w:cs="Arial"/>
                <w:color w:val="FFFFFF"/>
                <w:sz w:val="18"/>
                <w:szCs w:val="18"/>
              </w:rPr>
            </w:pPr>
            <w:r>
              <w:rPr>
                <w:rFonts w:ascii="Arial" w:eastAsia="Arial" w:hAnsi="Arial" w:cs="Arial"/>
                <w:color w:val="FFFFFF"/>
                <w:sz w:val="18"/>
                <w:szCs w:val="18"/>
              </w:rPr>
              <w:t>Stock</w:t>
            </w:r>
          </w:p>
        </w:tc>
      </w:tr>
      <w:tr w:rsidR="00A031A6" w14:paraId="36B07FF8"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065638AE"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Air conditioners</w:t>
            </w:r>
          </w:p>
        </w:tc>
        <w:tc>
          <w:tcPr>
            <w:tcW w:w="2268" w:type="dxa"/>
            <w:tcBorders>
              <w:top w:val="nil"/>
              <w:left w:val="nil"/>
              <w:bottom w:val="single" w:sz="4" w:space="0" w:color="000000"/>
              <w:right w:val="single" w:sz="4" w:space="0" w:color="000000"/>
            </w:tcBorders>
            <w:vAlign w:val="center"/>
          </w:tcPr>
          <w:p w14:paraId="34C91CD1"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4%</w:t>
            </w:r>
          </w:p>
        </w:tc>
        <w:tc>
          <w:tcPr>
            <w:tcW w:w="2268" w:type="dxa"/>
            <w:tcBorders>
              <w:top w:val="nil"/>
              <w:left w:val="nil"/>
              <w:bottom w:val="single" w:sz="4" w:space="0" w:color="000000"/>
              <w:right w:val="single" w:sz="4" w:space="0" w:color="000000"/>
            </w:tcBorders>
            <w:vAlign w:val="center"/>
          </w:tcPr>
          <w:p w14:paraId="22633AD8"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53D53DCB"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1,352,651</w:t>
            </w:r>
          </w:p>
        </w:tc>
      </w:tr>
      <w:tr w:rsidR="00A031A6" w14:paraId="6C89202A"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2C2A2429"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Lighting - CFL</w:t>
            </w:r>
          </w:p>
        </w:tc>
        <w:tc>
          <w:tcPr>
            <w:tcW w:w="2268" w:type="dxa"/>
            <w:tcBorders>
              <w:top w:val="nil"/>
              <w:left w:val="nil"/>
              <w:bottom w:val="single" w:sz="4" w:space="0" w:color="000000"/>
              <w:right w:val="single" w:sz="4" w:space="0" w:color="000000"/>
            </w:tcBorders>
            <w:vAlign w:val="center"/>
          </w:tcPr>
          <w:p w14:paraId="67BA1547"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14:paraId="68CF4392"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w:t>
            </w:r>
          </w:p>
        </w:tc>
        <w:tc>
          <w:tcPr>
            <w:tcW w:w="2268" w:type="dxa"/>
            <w:tcBorders>
              <w:top w:val="nil"/>
              <w:left w:val="nil"/>
              <w:bottom w:val="single" w:sz="4" w:space="0" w:color="000000"/>
              <w:right w:val="single" w:sz="4" w:space="0" w:color="000000"/>
            </w:tcBorders>
            <w:shd w:val="clear" w:color="auto" w:fill="D0CECE"/>
            <w:vAlign w:val="bottom"/>
          </w:tcPr>
          <w:p w14:paraId="72601EC3"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187,868,127</w:t>
            </w:r>
          </w:p>
        </w:tc>
      </w:tr>
      <w:tr w:rsidR="00A031A6" w14:paraId="3E1FB0BA"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63A3D8E0"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Refrigerator</w:t>
            </w:r>
          </w:p>
        </w:tc>
        <w:tc>
          <w:tcPr>
            <w:tcW w:w="2268" w:type="dxa"/>
            <w:tcBorders>
              <w:top w:val="nil"/>
              <w:left w:val="nil"/>
              <w:bottom w:val="single" w:sz="4" w:space="0" w:color="000000"/>
              <w:right w:val="single" w:sz="4" w:space="0" w:color="000000"/>
            </w:tcBorders>
            <w:vAlign w:val="center"/>
          </w:tcPr>
          <w:p w14:paraId="1FC3FFB0"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6%</w:t>
            </w:r>
          </w:p>
        </w:tc>
        <w:tc>
          <w:tcPr>
            <w:tcW w:w="2268" w:type="dxa"/>
            <w:tcBorders>
              <w:top w:val="nil"/>
              <w:left w:val="nil"/>
              <w:bottom w:val="single" w:sz="4" w:space="0" w:color="000000"/>
              <w:right w:val="single" w:sz="4" w:space="0" w:color="000000"/>
            </w:tcBorders>
            <w:vAlign w:val="center"/>
          </w:tcPr>
          <w:p w14:paraId="3D34D582"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2EEFBC83"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2,404,712</w:t>
            </w:r>
          </w:p>
        </w:tc>
      </w:tr>
      <w:tr w:rsidR="00A031A6" w14:paraId="00FA0D11"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60CB9FD1"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Television</w:t>
            </w:r>
          </w:p>
        </w:tc>
        <w:tc>
          <w:tcPr>
            <w:tcW w:w="2268" w:type="dxa"/>
            <w:tcBorders>
              <w:top w:val="nil"/>
              <w:left w:val="nil"/>
              <w:bottom w:val="single" w:sz="4" w:space="0" w:color="000000"/>
              <w:right w:val="single" w:sz="4" w:space="0" w:color="000000"/>
            </w:tcBorders>
            <w:vAlign w:val="center"/>
          </w:tcPr>
          <w:p w14:paraId="7EBF035E"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100%</w:t>
            </w:r>
          </w:p>
        </w:tc>
        <w:tc>
          <w:tcPr>
            <w:tcW w:w="2268" w:type="dxa"/>
            <w:tcBorders>
              <w:top w:val="nil"/>
              <w:left w:val="nil"/>
              <w:bottom w:val="single" w:sz="4" w:space="0" w:color="000000"/>
              <w:right w:val="single" w:sz="4" w:space="0" w:color="000000"/>
            </w:tcBorders>
            <w:vAlign w:val="center"/>
          </w:tcPr>
          <w:p w14:paraId="00F12351"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3DE478C6"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37,573,625</w:t>
            </w:r>
          </w:p>
        </w:tc>
      </w:tr>
      <w:tr w:rsidR="00A031A6" w14:paraId="37EFADFC"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13D3E88C"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Fans</w:t>
            </w:r>
          </w:p>
        </w:tc>
        <w:tc>
          <w:tcPr>
            <w:tcW w:w="2268" w:type="dxa"/>
            <w:tcBorders>
              <w:top w:val="nil"/>
              <w:left w:val="nil"/>
              <w:bottom w:val="single" w:sz="4" w:space="0" w:color="000000"/>
              <w:right w:val="single" w:sz="4" w:space="0" w:color="000000"/>
            </w:tcBorders>
            <w:vAlign w:val="center"/>
          </w:tcPr>
          <w:p w14:paraId="438CEC25"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96%</w:t>
            </w:r>
          </w:p>
        </w:tc>
        <w:tc>
          <w:tcPr>
            <w:tcW w:w="2268" w:type="dxa"/>
            <w:tcBorders>
              <w:top w:val="nil"/>
              <w:left w:val="nil"/>
              <w:bottom w:val="single" w:sz="4" w:space="0" w:color="000000"/>
              <w:right w:val="single" w:sz="4" w:space="0" w:color="000000"/>
            </w:tcBorders>
            <w:vAlign w:val="center"/>
          </w:tcPr>
          <w:p w14:paraId="104C3002"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55DA6F61"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36,070,680</w:t>
            </w:r>
          </w:p>
        </w:tc>
      </w:tr>
      <w:tr w:rsidR="00A031A6" w14:paraId="7C2CA7B5"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00F27CE9"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Washing machine</w:t>
            </w:r>
          </w:p>
        </w:tc>
        <w:tc>
          <w:tcPr>
            <w:tcW w:w="2268" w:type="dxa"/>
            <w:tcBorders>
              <w:top w:val="nil"/>
              <w:left w:val="nil"/>
              <w:bottom w:val="single" w:sz="4" w:space="0" w:color="000000"/>
              <w:right w:val="single" w:sz="4" w:space="0" w:color="000000"/>
            </w:tcBorders>
            <w:vAlign w:val="center"/>
          </w:tcPr>
          <w:p w14:paraId="71AE9A62"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33%</w:t>
            </w:r>
          </w:p>
        </w:tc>
        <w:tc>
          <w:tcPr>
            <w:tcW w:w="2268" w:type="dxa"/>
            <w:tcBorders>
              <w:top w:val="nil"/>
              <w:left w:val="nil"/>
              <w:bottom w:val="single" w:sz="4" w:space="0" w:color="000000"/>
              <w:right w:val="single" w:sz="4" w:space="0" w:color="000000"/>
            </w:tcBorders>
            <w:vAlign w:val="center"/>
          </w:tcPr>
          <w:p w14:paraId="52659418"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1DEF30B7"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12,399,296</w:t>
            </w:r>
          </w:p>
        </w:tc>
      </w:tr>
      <w:tr w:rsidR="00A031A6" w14:paraId="43CE101B" w14:textId="77777777">
        <w:trPr>
          <w:trHeight w:val="285"/>
        </w:trPr>
        <w:tc>
          <w:tcPr>
            <w:tcW w:w="2268" w:type="dxa"/>
            <w:tcBorders>
              <w:top w:val="nil"/>
              <w:left w:val="single" w:sz="4" w:space="0" w:color="000000"/>
              <w:bottom w:val="single" w:sz="4" w:space="0" w:color="000000"/>
              <w:right w:val="single" w:sz="4" w:space="0" w:color="000000"/>
            </w:tcBorders>
            <w:shd w:val="clear" w:color="auto" w:fill="FFFFFF"/>
            <w:vAlign w:val="bottom"/>
          </w:tcPr>
          <w:p w14:paraId="582AB2AE" w14:textId="77777777" w:rsidR="00A031A6" w:rsidRDefault="00916FD0">
            <w:pPr>
              <w:ind w:right="521"/>
              <w:rPr>
                <w:rFonts w:ascii="Arial" w:eastAsia="Arial" w:hAnsi="Arial" w:cs="Arial"/>
                <w:color w:val="000000"/>
                <w:sz w:val="18"/>
                <w:szCs w:val="18"/>
              </w:rPr>
            </w:pPr>
            <w:r>
              <w:rPr>
                <w:rFonts w:ascii="Arial" w:eastAsia="Arial" w:hAnsi="Arial" w:cs="Arial"/>
                <w:color w:val="000000"/>
                <w:sz w:val="18"/>
                <w:szCs w:val="18"/>
              </w:rPr>
              <w:t>Water pump</w:t>
            </w:r>
          </w:p>
        </w:tc>
        <w:tc>
          <w:tcPr>
            <w:tcW w:w="2268" w:type="dxa"/>
            <w:tcBorders>
              <w:top w:val="nil"/>
              <w:left w:val="nil"/>
              <w:bottom w:val="single" w:sz="4" w:space="0" w:color="000000"/>
              <w:right w:val="single" w:sz="4" w:space="0" w:color="000000"/>
            </w:tcBorders>
            <w:vAlign w:val="center"/>
          </w:tcPr>
          <w:p w14:paraId="791594A6"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55%</w:t>
            </w:r>
          </w:p>
        </w:tc>
        <w:tc>
          <w:tcPr>
            <w:tcW w:w="2268" w:type="dxa"/>
            <w:tcBorders>
              <w:top w:val="nil"/>
              <w:left w:val="nil"/>
              <w:bottom w:val="single" w:sz="4" w:space="0" w:color="000000"/>
              <w:right w:val="single" w:sz="4" w:space="0" w:color="000000"/>
            </w:tcBorders>
            <w:vAlign w:val="center"/>
          </w:tcPr>
          <w:p w14:paraId="4BF4A388" w14:textId="77777777" w:rsidR="00A031A6" w:rsidRDefault="00916FD0">
            <w:pPr>
              <w:ind w:right="521"/>
              <w:jc w:val="center"/>
              <w:rPr>
                <w:rFonts w:ascii="Arial" w:eastAsia="Arial" w:hAnsi="Arial" w:cs="Arial"/>
                <w:color w:val="000000"/>
                <w:sz w:val="18"/>
                <w:szCs w:val="18"/>
              </w:rPr>
            </w:pPr>
            <w:r>
              <w:rPr>
                <w:rFonts w:ascii="Arial" w:eastAsia="Arial" w:hAnsi="Arial" w:cs="Arial"/>
                <w:color w:val="000000"/>
                <w:sz w:val="18"/>
                <w:szCs w:val="18"/>
              </w:rPr>
              <w:t>1</w:t>
            </w:r>
          </w:p>
        </w:tc>
        <w:tc>
          <w:tcPr>
            <w:tcW w:w="2268" w:type="dxa"/>
            <w:tcBorders>
              <w:top w:val="nil"/>
              <w:left w:val="nil"/>
              <w:bottom w:val="single" w:sz="4" w:space="0" w:color="000000"/>
              <w:right w:val="single" w:sz="4" w:space="0" w:color="000000"/>
            </w:tcBorders>
            <w:shd w:val="clear" w:color="auto" w:fill="D0CECE"/>
            <w:vAlign w:val="bottom"/>
          </w:tcPr>
          <w:p w14:paraId="033282BC" w14:textId="77777777" w:rsidR="00A031A6" w:rsidRDefault="00916FD0">
            <w:pPr>
              <w:ind w:right="521"/>
              <w:jc w:val="right"/>
              <w:rPr>
                <w:rFonts w:ascii="Arial" w:eastAsia="Arial" w:hAnsi="Arial" w:cs="Arial"/>
                <w:color w:val="000000"/>
                <w:sz w:val="18"/>
                <w:szCs w:val="18"/>
              </w:rPr>
            </w:pPr>
            <w:r>
              <w:rPr>
                <w:rFonts w:ascii="Arial" w:eastAsia="Arial" w:hAnsi="Arial" w:cs="Arial"/>
                <w:color w:val="000000"/>
                <w:sz w:val="18"/>
                <w:szCs w:val="18"/>
              </w:rPr>
              <w:t>20,665,494</w:t>
            </w:r>
          </w:p>
        </w:tc>
      </w:tr>
    </w:tbl>
    <w:p w14:paraId="534CC349" w14:textId="77777777" w:rsidR="00A031A6" w:rsidRDefault="00916FD0">
      <w:pPr>
        <w:pStyle w:val="Heading3"/>
        <w:ind w:right="521" w:firstLine="716"/>
      </w:pPr>
      <w:r>
        <w:br/>
      </w:r>
      <w:bookmarkStart w:id="299" w:name="_Toc62221594"/>
      <w:r>
        <w:t>Stock-turnover analysis</w:t>
      </w:r>
      <w:bookmarkEnd w:id="299"/>
    </w:p>
    <w:p w14:paraId="42ECB271" w14:textId="77777777" w:rsidR="00A031A6" w:rsidRDefault="00916FD0">
      <w:r>
        <w:rPr>
          <w:noProof/>
        </w:rPr>
        <mc:AlternateContent>
          <mc:Choice Requires="wps">
            <w:drawing>
              <wp:anchor distT="0" distB="0" distL="114300" distR="114300" simplePos="0" relativeHeight="251665408" behindDoc="0" locked="0" layoutInCell="1" hidden="0" allowOverlap="1" wp14:anchorId="404E0650" wp14:editId="0C550AF9">
                <wp:simplePos x="0" y="0"/>
                <wp:positionH relativeFrom="column">
                  <wp:posOffset>1</wp:posOffset>
                </wp:positionH>
                <wp:positionV relativeFrom="paragraph">
                  <wp:posOffset>0</wp:posOffset>
                </wp:positionV>
                <wp:extent cx="3735388" cy="191277"/>
                <wp:effectExtent l="0" t="0" r="0" b="0"/>
                <wp:wrapNone/>
                <wp:docPr id="3" name="Rectangle 3"/>
                <wp:cNvGraphicFramePr/>
                <a:graphic xmlns:a="http://schemas.openxmlformats.org/drawingml/2006/main">
                  <a:graphicData uri="http://schemas.microsoft.com/office/word/2010/wordprocessingShape">
                    <wps:wsp>
                      <wps:cNvSpPr/>
                      <wps:spPr>
                        <a:xfrm>
                          <a:off x="3487831" y="3693887"/>
                          <a:ext cx="3716338" cy="172227"/>
                        </a:xfrm>
                        <a:prstGeom prst="rect">
                          <a:avLst/>
                        </a:prstGeom>
                        <a:noFill/>
                        <a:ln>
                          <a:noFill/>
                        </a:ln>
                      </wps:spPr>
                      <wps:txbx>
                        <w:txbxContent>
                          <w:p w14:paraId="0ACB03E1"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404E0650" id="Rectangle 3" o:spid="_x0000_s1031" style="position:absolute;margin-left:0;margin-top:0;width:294.15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" filled="f" stroked="f">
                <v:textbox inset="0,0,0,0">
                  <w:txbxContent>
                    <w:p w14:paraId="0ACB03E1" w14:textId="77777777" w:rsidR="00672401" w:rsidRDefault="00672401">
                      <w:pPr>
                        <w:spacing w:line="258" w:lineRule="auto"/>
                        <w:textDirection w:val="btLr"/>
                      </w:pPr>
                    </w:p>
                  </w:txbxContent>
                </v:textbox>
              </v:rect>
            </w:pict>
          </mc:Fallback>
        </mc:AlternateContent>
      </w:r>
    </w:p>
    <w:p w14:paraId="0D867A9C" w14:textId="77777777" w:rsidR="00A031A6" w:rsidRDefault="00916FD0">
      <w:pPr>
        <w:rPr>
          <w:rFonts w:ascii="Arial" w:eastAsia="Arial" w:hAnsi="Arial" w:cs="Arial"/>
          <w:sz w:val="20"/>
          <w:szCs w:val="20"/>
        </w:rPr>
      </w:pPr>
      <w:r>
        <w:rPr>
          <w:rFonts w:ascii="Arial" w:eastAsia="Arial" w:hAnsi="Arial" w:cs="Arial"/>
          <w:sz w:val="20"/>
          <w:szCs w:val="20"/>
        </w:rPr>
        <w:t>where</w:t>
      </w:r>
    </w:p>
    <w:p w14:paraId="7B1A792D" w14:textId="77777777" w:rsidR="00A031A6" w:rsidRDefault="00916FD0">
      <w:pPr>
        <w:ind w:left="2160"/>
        <w:rPr>
          <w:rFonts w:ascii="Arial" w:eastAsia="Arial" w:hAnsi="Arial" w:cs="Arial"/>
          <w:sz w:val="20"/>
          <w:szCs w:val="20"/>
        </w:rPr>
      </w:pPr>
      <w:r>
        <w:rPr>
          <w:rFonts w:ascii="Arial" w:eastAsia="Arial" w:hAnsi="Arial" w:cs="Arial"/>
          <w:sz w:val="20"/>
          <w:szCs w:val="20"/>
        </w:rPr>
        <w:t>Stock of appliances in year t</w:t>
      </w:r>
      <w:r>
        <w:rPr>
          <w:noProof/>
        </w:rPr>
        <mc:AlternateContent>
          <mc:Choice Requires="wps">
            <w:drawing>
              <wp:anchor distT="0" distB="0" distL="114300" distR="114300" simplePos="0" relativeHeight="251666432" behindDoc="0" locked="0" layoutInCell="1" hidden="0" allowOverlap="1" wp14:anchorId="3592B91E" wp14:editId="58D47263">
                <wp:simplePos x="0" y="0"/>
                <wp:positionH relativeFrom="column">
                  <wp:posOffset>1</wp:posOffset>
                </wp:positionH>
                <wp:positionV relativeFrom="paragraph">
                  <wp:posOffset>0</wp:posOffset>
                </wp:positionV>
                <wp:extent cx="620753" cy="191277"/>
                <wp:effectExtent l="0" t="0" r="0" b="0"/>
                <wp:wrapNone/>
                <wp:docPr id="6" name="Rectangle 6"/>
                <wp:cNvGraphicFramePr/>
                <a:graphic xmlns:a="http://schemas.openxmlformats.org/drawingml/2006/main">
                  <a:graphicData uri="http://schemas.microsoft.com/office/word/2010/wordprocessingShape">
                    <wps:wsp>
                      <wps:cNvSpPr/>
                      <wps:spPr>
                        <a:xfrm>
                          <a:off x="5045149" y="3693887"/>
                          <a:ext cx="601703" cy="172227"/>
                        </a:xfrm>
                        <a:prstGeom prst="rect">
                          <a:avLst/>
                        </a:prstGeom>
                        <a:noFill/>
                        <a:ln>
                          <a:noFill/>
                        </a:ln>
                      </wps:spPr>
                      <wps:txbx>
                        <w:txbxContent>
                          <w:p w14:paraId="7913CB42"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3592B91E" id="Rectangle 6" o:spid="_x0000_s1032" style="position:absolute;left:0;text-align:left;margin-left:0;margin-top:0;width:48.9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" filled="f" stroked="f">
                <v:textbox inset="0,0,0,0">
                  <w:txbxContent>
                    <w:p w14:paraId="7913CB42" w14:textId="77777777" w:rsidR="00672401" w:rsidRDefault="00672401">
                      <w:pPr>
                        <w:spacing w:line="258" w:lineRule="auto"/>
                        <w:textDirection w:val="btLr"/>
                      </w:pPr>
                    </w:p>
                  </w:txbxContent>
                </v:textbox>
              </v:rect>
            </w:pict>
          </mc:Fallback>
        </mc:AlternateContent>
      </w:r>
    </w:p>
    <w:p w14:paraId="41A7B0A1" w14:textId="77777777" w:rsidR="00A031A6" w:rsidRDefault="00916FD0">
      <w:pPr>
        <w:ind w:left="2160"/>
        <w:rPr>
          <w:rFonts w:ascii="Arial" w:eastAsia="Arial" w:hAnsi="Arial" w:cs="Arial"/>
          <w:sz w:val="20"/>
          <w:szCs w:val="20"/>
        </w:rPr>
      </w:pPr>
      <w:r>
        <w:rPr>
          <w:rFonts w:ascii="Arial" w:eastAsia="Arial" w:hAnsi="Arial" w:cs="Arial"/>
          <w:sz w:val="20"/>
          <w:szCs w:val="20"/>
        </w:rPr>
        <w:t>Stock of appliances in year (t-1)</w:t>
      </w:r>
      <w:r>
        <w:rPr>
          <w:noProof/>
        </w:rPr>
        <mc:AlternateContent>
          <mc:Choice Requires="wps">
            <w:drawing>
              <wp:anchor distT="0" distB="0" distL="114300" distR="114300" simplePos="0" relativeHeight="251667456" behindDoc="0" locked="0" layoutInCell="1" hidden="0" allowOverlap="1" wp14:anchorId="69352C89" wp14:editId="37FA652D">
                <wp:simplePos x="0" y="0"/>
                <wp:positionH relativeFrom="column">
                  <wp:posOffset>1</wp:posOffset>
                </wp:positionH>
                <wp:positionV relativeFrom="paragraph">
                  <wp:posOffset>0</wp:posOffset>
                </wp:positionV>
                <wp:extent cx="898009" cy="191277"/>
                <wp:effectExtent l="0" t="0" r="0" b="0"/>
                <wp:wrapNone/>
                <wp:docPr id="5" name="Rectangle 5"/>
                <wp:cNvGraphicFramePr/>
                <a:graphic xmlns:a="http://schemas.openxmlformats.org/drawingml/2006/main">
                  <a:graphicData uri="http://schemas.microsoft.com/office/word/2010/wordprocessingShape">
                    <wps:wsp>
                      <wps:cNvSpPr/>
                      <wps:spPr>
                        <a:xfrm>
                          <a:off x="4906521" y="3693887"/>
                          <a:ext cx="878959" cy="172227"/>
                        </a:xfrm>
                        <a:prstGeom prst="rect">
                          <a:avLst/>
                        </a:prstGeom>
                        <a:noFill/>
                        <a:ln>
                          <a:noFill/>
                        </a:ln>
                      </wps:spPr>
                      <wps:txbx>
                        <w:txbxContent>
                          <w:p w14:paraId="792D5E52"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69352C89" id="Rectangle 5" o:spid="_x0000_s1033" style="position:absolute;left:0;text-align:left;margin-left:0;margin-top:0;width:70.7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" filled="f" stroked="f">
                <v:textbox inset="0,0,0,0">
                  <w:txbxContent>
                    <w:p w14:paraId="792D5E52" w14:textId="77777777" w:rsidR="00672401" w:rsidRDefault="00672401">
                      <w:pPr>
                        <w:spacing w:line="258" w:lineRule="auto"/>
                        <w:textDirection w:val="btLr"/>
                      </w:pPr>
                    </w:p>
                  </w:txbxContent>
                </v:textbox>
              </v:rect>
            </w:pict>
          </mc:Fallback>
        </mc:AlternateContent>
      </w:r>
    </w:p>
    <w:p w14:paraId="592FDEF0" w14:textId="77777777" w:rsidR="00A031A6" w:rsidRDefault="00916FD0">
      <w:pPr>
        <w:ind w:left="2160"/>
        <w:rPr>
          <w:rFonts w:ascii="Arial" w:eastAsia="Arial" w:hAnsi="Arial" w:cs="Arial"/>
          <w:sz w:val="20"/>
          <w:szCs w:val="20"/>
        </w:rPr>
      </w:pPr>
      <w:r>
        <w:rPr>
          <w:rFonts w:ascii="Arial" w:eastAsia="Arial" w:hAnsi="Arial" w:cs="Arial"/>
          <w:sz w:val="20"/>
          <w:szCs w:val="20"/>
        </w:rPr>
        <w:t>Number of appliances sold in year (t)</w:t>
      </w:r>
      <w:r>
        <w:rPr>
          <w:noProof/>
        </w:rPr>
        <mc:AlternateContent>
          <mc:Choice Requires="wps">
            <w:drawing>
              <wp:anchor distT="0" distB="0" distL="114300" distR="114300" simplePos="0" relativeHeight="251668480" behindDoc="0" locked="0" layoutInCell="1" hidden="0" allowOverlap="1" wp14:anchorId="1C084E49" wp14:editId="05AFFF52">
                <wp:simplePos x="0" y="0"/>
                <wp:positionH relativeFrom="column">
                  <wp:posOffset>1</wp:posOffset>
                </wp:positionH>
                <wp:positionV relativeFrom="paragraph">
                  <wp:posOffset>0</wp:posOffset>
                </wp:positionV>
                <wp:extent cx="602030" cy="191277"/>
                <wp:effectExtent l="0" t="0" r="0" b="0"/>
                <wp:wrapNone/>
                <wp:docPr id="2" name="Rectangle 2"/>
                <wp:cNvGraphicFramePr/>
                <a:graphic xmlns:a="http://schemas.openxmlformats.org/drawingml/2006/main">
                  <a:graphicData uri="http://schemas.microsoft.com/office/word/2010/wordprocessingShape">
                    <wps:wsp>
                      <wps:cNvSpPr/>
                      <wps:spPr>
                        <a:xfrm>
                          <a:off x="5054510" y="3693887"/>
                          <a:ext cx="582980" cy="172227"/>
                        </a:xfrm>
                        <a:prstGeom prst="rect">
                          <a:avLst/>
                        </a:prstGeom>
                        <a:noFill/>
                        <a:ln>
                          <a:noFill/>
                        </a:ln>
                      </wps:spPr>
                      <wps:txbx>
                        <w:txbxContent>
                          <w:p w14:paraId="79965115"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1C084E49" id="Rectangle 2" o:spid="_x0000_s1034" style="position:absolute;left:0;text-align:left;margin-left:0;margin-top:0;width:47.4pt;height:15.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" filled="f" stroked="f">
                <v:textbox inset="0,0,0,0">
                  <w:txbxContent>
                    <w:p w14:paraId="79965115" w14:textId="77777777" w:rsidR="00672401" w:rsidRDefault="00672401">
                      <w:pPr>
                        <w:spacing w:line="258" w:lineRule="auto"/>
                        <w:textDirection w:val="btLr"/>
                      </w:pPr>
                    </w:p>
                  </w:txbxContent>
                </v:textbox>
              </v:rect>
            </w:pict>
          </mc:Fallback>
        </mc:AlternateContent>
      </w:r>
    </w:p>
    <w:p w14:paraId="1C887DD9" w14:textId="77777777" w:rsidR="00A031A6" w:rsidRDefault="00916FD0">
      <w:pPr>
        <w:ind w:left="2160"/>
        <w:rPr>
          <w:rFonts w:ascii="Arial" w:eastAsia="Arial" w:hAnsi="Arial" w:cs="Arial"/>
          <w:sz w:val="20"/>
          <w:szCs w:val="20"/>
        </w:rPr>
      </w:pPr>
      <w:r>
        <w:rPr>
          <w:rFonts w:ascii="Arial" w:eastAsia="Arial" w:hAnsi="Arial" w:cs="Arial"/>
          <w:sz w:val="20"/>
          <w:szCs w:val="20"/>
        </w:rPr>
        <w:t>Number of appliances retired due to its technical lifetime in year (t)</w:t>
      </w:r>
      <w:r>
        <w:rPr>
          <w:noProof/>
        </w:rPr>
        <mc:AlternateContent>
          <mc:Choice Requires="wps">
            <w:drawing>
              <wp:anchor distT="0" distB="0" distL="114300" distR="114300" simplePos="0" relativeHeight="251669504" behindDoc="0" locked="0" layoutInCell="1" hidden="0" allowOverlap="1" wp14:anchorId="4BE29420" wp14:editId="4E597753">
                <wp:simplePos x="0" y="0"/>
                <wp:positionH relativeFrom="column">
                  <wp:posOffset>1</wp:posOffset>
                </wp:positionH>
                <wp:positionV relativeFrom="paragraph">
                  <wp:posOffset>0</wp:posOffset>
                </wp:positionV>
                <wp:extent cx="1102360" cy="191135"/>
                <wp:effectExtent l="0" t="0" r="0" b="0"/>
                <wp:wrapNone/>
                <wp:docPr id="1" name="Rectangle 1"/>
                <wp:cNvGraphicFramePr/>
                <a:graphic xmlns:a="http://schemas.openxmlformats.org/drawingml/2006/main">
                  <a:graphicData uri="http://schemas.microsoft.com/office/word/2010/wordprocessingShape">
                    <wps:wsp>
                      <wps:cNvSpPr/>
                      <wps:spPr>
                        <a:xfrm>
                          <a:off x="4804345" y="3693958"/>
                          <a:ext cx="1083310" cy="172085"/>
                        </a:xfrm>
                        <a:prstGeom prst="rect">
                          <a:avLst/>
                        </a:prstGeom>
                        <a:noFill/>
                        <a:ln>
                          <a:noFill/>
                        </a:ln>
                      </wps:spPr>
                      <wps:txbx>
                        <w:txbxContent>
                          <w:p w14:paraId="357A65C7" w14:textId="77777777" w:rsidR="00672401" w:rsidRDefault="00672401">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4BE29420" id="Rectangle 1" o:spid="_x0000_s1035" style="position:absolute;left:0;text-align:left;margin-left:0;margin-top:0;width:86.8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" filled="f" stroked="f">
                <v:textbox inset="0,0,0,0">
                  <w:txbxContent>
                    <w:p w14:paraId="357A65C7" w14:textId="77777777" w:rsidR="00672401" w:rsidRDefault="00672401">
                      <w:pPr>
                        <w:spacing w:line="258" w:lineRule="auto"/>
                        <w:textDirection w:val="btLr"/>
                      </w:pPr>
                    </w:p>
                  </w:txbxContent>
                </v:textbox>
              </v:rect>
            </w:pict>
          </mc:Fallback>
        </mc:AlternateContent>
      </w:r>
    </w:p>
    <w:p w14:paraId="3B50AD72" w14:textId="77777777" w:rsidR="00A031A6" w:rsidRDefault="00916FD0">
      <m:oMath>
        <m:r>
          <w:rPr>
            <w:rFonts w:ascii="Cambria Math" w:eastAsia="Cambria Math" w:hAnsi="Cambria Math" w:cs="Cambria Math"/>
          </w:rPr>
          <m:t>i</m:t>
        </m:r>
      </m:oMath>
      <w:r>
        <w:t xml:space="preserve">                                          </w:t>
      </w:r>
      <w:r>
        <w:rPr>
          <w:rFonts w:ascii="Arial" w:eastAsia="Arial" w:hAnsi="Arial" w:cs="Arial"/>
          <w:sz w:val="20"/>
          <w:szCs w:val="20"/>
        </w:rPr>
        <w:t>Type of Appliance</w:t>
      </w:r>
    </w:p>
    <w:p w14:paraId="211AD06C" w14:textId="77777777" w:rsidR="00A031A6" w:rsidRDefault="00A031A6">
      <w:pPr>
        <w:sectPr w:rsidR="00A031A6">
          <w:pgSz w:w="11906" w:h="16838"/>
          <w:pgMar w:top="1440" w:right="1440" w:bottom="1440" w:left="1440" w:header="709" w:footer="709" w:gutter="0"/>
          <w:cols w:space="720"/>
        </w:sectPr>
      </w:pPr>
    </w:p>
    <w:p w14:paraId="1CBA8931" w14:textId="77777777" w:rsidR="00A031A6" w:rsidRDefault="00916FD0">
      <w:pPr>
        <w:jc w:val="center"/>
        <w:rPr>
          <w:rFonts w:ascii="Arial" w:eastAsia="Arial" w:hAnsi="Arial" w:cs="Arial"/>
          <w:b/>
        </w:rPr>
      </w:pPr>
      <w:bookmarkStart w:id="300" w:name="_2k82xt6" w:colFirst="0" w:colLast="0"/>
      <w:bookmarkEnd w:id="300"/>
      <w:r>
        <w:rPr>
          <w:rFonts w:ascii="Arial" w:eastAsia="Arial" w:hAnsi="Arial" w:cs="Arial"/>
          <w:b/>
        </w:rPr>
        <w:lastRenderedPageBreak/>
        <w:t>Table 24. Stock-turnover analysis results</w:t>
      </w:r>
    </w:p>
    <w:tbl>
      <w:tblPr>
        <w:tblStyle w:val="afb"/>
        <w:tblW w:w="15398" w:type="dxa"/>
        <w:tblLayout w:type="fixed"/>
        <w:tblLook w:val="0400" w:firstRow="0" w:lastRow="0" w:firstColumn="0" w:lastColumn="0" w:noHBand="0" w:noVBand="1"/>
      </w:tblPr>
      <w:tblGrid>
        <w:gridCol w:w="1552"/>
        <w:gridCol w:w="8"/>
        <w:gridCol w:w="1169"/>
        <w:gridCol w:w="214"/>
        <w:gridCol w:w="829"/>
        <w:gridCol w:w="539"/>
        <w:gridCol w:w="428"/>
        <w:gridCol w:w="943"/>
        <w:gridCol w:w="567"/>
        <w:gridCol w:w="943"/>
        <w:gridCol w:w="311"/>
        <w:gridCol w:w="995"/>
        <w:gridCol w:w="56"/>
        <w:gridCol w:w="930"/>
        <w:gridCol w:w="441"/>
        <w:gridCol w:w="773"/>
        <w:gridCol w:w="599"/>
        <w:gridCol w:w="617"/>
        <w:gridCol w:w="756"/>
        <w:gridCol w:w="232"/>
        <w:gridCol w:w="1141"/>
        <w:gridCol w:w="285"/>
        <w:gridCol w:w="1070"/>
      </w:tblGrid>
      <w:tr w:rsidR="00A031A6" w14:paraId="1D68C762" w14:textId="77777777">
        <w:trPr>
          <w:trHeight w:val="57"/>
        </w:trPr>
        <w:tc>
          <w:tcPr>
            <w:tcW w:w="1560" w:type="dxa"/>
            <w:gridSpan w:val="2"/>
            <w:tcBorders>
              <w:top w:val="nil"/>
              <w:left w:val="nil"/>
              <w:bottom w:val="nil"/>
              <w:right w:val="nil"/>
            </w:tcBorders>
            <w:shd w:val="clear" w:color="auto" w:fill="808080"/>
            <w:vAlign w:val="bottom"/>
          </w:tcPr>
          <w:p w14:paraId="3B2DDAFE" w14:textId="77777777" w:rsidR="00A031A6" w:rsidRDefault="00916FD0">
            <w:pPr>
              <w:rPr>
                <w:b/>
                <w:color w:val="FFFFFF"/>
                <w:sz w:val="14"/>
                <w:szCs w:val="14"/>
              </w:rPr>
            </w:pPr>
            <w:r>
              <w:rPr>
                <w:b/>
                <w:color w:val="FFFFFF"/>
                <w:sz w:val="14"/>
                <w:szCs w:val="14"/>
              </w:rPr>
              <w:t>Air Conditioners</w:t>
            </w:r>
          </w:p>
        </w:tc>
        <w:tc>
          <w:tcPr>
            <w:tcW w:w="1169" w:type="dxa"/>
            <w:tcBorders>
              <w:top w:val="nil"/>
              <w:left w:val="nil"/>
              <w:bottom w:val="nil"/>
              <w:right w:val="nil"/>
            </w:tcBorders>
            <w:shd w:val="clear" w:color="auto" w:fill="808080"/>
            <w:vAlign w:val="bottom"/>
          </w:tcPr>
          <w:p w14:paraId="693712F8" w14:textId="77777777"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14:paraId="00DFA5FD" w14:textId="77777777"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14:paraId="1EEF91FC"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67C0376E" w14:textId="77777777"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14:paraId="541B55DB" w14:textId="77777777"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14:paraId="37B9A174" w14:textId="77777777" w:rsidR="00A031A6" w:rsidRDefault="00916FD0">
            <w:pPr>
              <w:rPr>
                <w:b/>
                <w:color w:val="FFFFFF"/>
                <w:sz w:val="14"/>
                <w:szCs w:val="14"/>
              </w:rPr>
            </w:pPr>
            <w:r>
              <w:rPr>
                <w:b/>
                <w:color w:val="FFFFFF"/>
                <w:sz w:val="14"/>
                <w:szCs w:val="14"/>
              </w:rPr>
              <w:t>Pre-EE</w:t>
            </w:r>
          </w:p>
        </w:tc>
        <w:tc>
          <w:tcPr>
            <w:tcW w:w="986" w:type="dxa"/>
            <w:gridSpan w:val="2"/>
            <w:tcBorders>
              <w:top w:val="nil"/>
              <w:left w:val="nil"/>
              <w:bottom w:val="nil"/>
              <w:right w:val="nil"/>
            </w:tcBorders>
            <w:shd w:val="clear" w:color="auto" w:fill="808080"/>
            <w:vAlign w:val="bottom"/>
          </w:tcPr>
          <w:p w14:paraId="6773B262" w14:textId="77777777"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14:paraId="5C8F523C" w14:textId="77777777"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14:paraId="0152B293" w14:textId="77777777"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14:paraId="5C995EA8" w14:textId="77777777"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14:paraId="02D14826" w14:textId="77777777"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14:paraId="31C99513" w14:textId="77777777" w:rsidR="00A031A6" w:rsidRDefault="00916FD0">
            <w:pPr>
              <w:rPr>
                <w:b/>
                <w:color w:val="FFFFFF"/>
                <w:sz w:val="14"/>
                <w:szCs w:val="14"/>
              </w:rPr>
            </w:pPr>
            <w:r>
              <w:rPr>
                <w:b/>
                <w:color w:val="FFFFFF"/>
                <w:sz w:val="14"/>
                <w:szCs w:val="14"/>
              </w:rPr>
              <w:t>Replacement</w:t>
            </w:r>
          </w:p>
        </w:tc>
      </w:tr>
      <w:tr w:rsidR="00A031A6" w14:paraId="33494E07" w14:textId="77777777">
        <w:trPr>
          <w:trHeight w:val="57"/>
        </w:trPr>
        <w:tc>
          <w:tcPr>
            <w:tcW w:w="1560" w:type="dxa"/>
            <w:gridSpan w:val="2"/>
            <w:tcBorders>
              <w:top w:val="nil"/>
              <w:left w:val="nil"/>
              <w:bottom w:val="nil"/>
              <w:right w:val="nil"/>
            </w:tcBorders>
            <w:shd w:val="clear" w:color="auto" w:fill="FFFFFF"/>
            <w:vAlign w:val="bottom"/>
          </w:tcPr>
          <w:p w14:paraId="57B5BE09" w14:textId="77777777"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14:paraId="72484B63" w14:textId="77777777" w:rsidR="00A031A6" w:rsidRDefault="00916FD0">
            <w:pPr>
              <w:jc w:val="right"/>
              <w:rPr>
                <w:color w:val="000000"/>
                <w:sz w:val="14"/>
                <w:szCs w:val="14"/>
              </w:rPr>
            </w:pPr>
            <w:r>
              <w:rPr>
                <w:color w:val="000000"/>
                <w:sz w:val="14"/>
                <w:szCs w:val="14"/>
              </w:rPr>
              <w:t>8,641,798</w:t>
            </w:r>
          </w:p>
        </w:tc>
        <w:tc>
          <w:tcPr>
            <w:tcW w:w="1043" w:type="dxa"/>
            <w:gridSpan w:val="2"/>
            <w:tcBorders>
              <w:top w:val="nil"/>
              <w:left w:val="nil"/>
              <w:bottom w:val="nil"/>
              <w:right w:val="nil"/>
            </w:tcBorders>
            <w:shd w:val="clear" w:color="auto" w:fill="FFFFFF"/>
            <w:vAlign w:val="bottom"/>
          </w:tcPr>
          <w:p w14:paraId="5A811949"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14:paraId="25B3FD55"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050A6A5E" w14:textId="77777777"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14:paraId="7B9F4C5F"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2941C981" w14:textId="77777777" w:rsidR="00A031A6" w:rsidRDefault="00916FD0">
            <w:pPr>
              <w:jc w:val="right"/>
              <w:rPr>
                <w:color w:val="000000"/>
                <w:sz w:val="14"/>
                <w:szCs w:val="14"/>
              </w:rPr>
            </w:pPr>
            <w:r>
              <w:rPr>
                <w:color w:val="000000"/>
                <w:sz w:val="14"/>
                <w:szCs w:val="14"/>
              </w:rPr>
              <w:t>8,641,798</w:t>
            </w:r>
          </w:p>
        </w:tc>
        <w:tc>
          <w:tcPr>
            <w:tcW w:w="986" w:type="dxa"/>
            <w:gridSpan w:val="2"/>
            <w:tcBorders>
              <w:top w:val="nil"/>
              <w:left w:val="nil"/>
              <w:bottom w:val="nil"/>
              <w:right w:val="nil"/>
            </w:tcBorders>
            <w:shd w:val="clear" w:color="auto" w:fill="FFFFFF"/>
            <w:vAlign w:val="bottom"/>
          </w:tcPr>
          <w:p w14:paraId="5BDC3067"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2939D7C1"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2B16D604"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261D1532" w14:textId="77777777" w:rsidR="00A031A6" w:rsidRDefault="00916FD0">
            <w:pPr>
              <w:jc w:val="right"/>
              <w:rPr>
                <w:color w:val="000000"/>
                <w:sz w:val="14"/>
                <w:szCs w:val="14"/>
              </w:rPr>
            </w:pPr>
            <w:r>
              <w:rPr>
                <w:color w:val="000000"/>
                <w:sz w:val="14"/>
                <w:szCs w:val="14"/>
              </w:rPr>
              <w:t>13%</w:t>
            </w:r>
          </w:p>
        </w:tc>
        <w:tc>
          <w:tcPr>
            <w:tcW w:w="1426" w:type="dxa"/>
            <w:gridSpan w:val="2"/>
            <w:tcBorders>
              <w:top w:val="nil"/>
              <w:left w:val="nil"/>
              <w:bottom w:val="nil"/>
              <w:right w:val="nil"/>
            </w:tcBorders>
            <w:shd w:val="clear" w:color="auto" w:fill="FFFFFF"/>
            <w:vAlign w:val="bottom"/>
          </w:tcPr>
          <w:p w14:paraId="44C2EC6A" w14:textId="77777777" w:rsidR="00A031A6" w:rsidRDefault="00916FD0">
            <w:pPr>
              <w:jc w:val="right"/>
              <w:rPr>
                <w:color w:val="000000"/>
                <w:sz w:val="14"/>
                <w:szCs w:val="14"/>
              </w:rPr>
            </w:pPr>
            <w:r>
              <w:rPr>
                <w:color w:val="000000"/>
                <w:sz w:val="14"/>
                <w:szCs w:val="14"/>
              </w:rPr>
              <w:t>8,641,798</w:t>
            </w:r>
          </w:p>
        </w:tc>
        <w:tc>
          <w:tcPr>
            <w:tcW w:w="1070" w:type="dxa"/>
            <w:tcBorders>
              <w:top w:val="nil"/>
              <w:left w:val="nil"/>
              <w:bottom w:val="nil"/>
              <w:right w:val="nil"/>
            </w:tcBorders>
            <w:shd w:val="clear" w:color="auto" w:fill="FFFFFF"/>
            <w:vAlign w:val="bottom"/>
          </w:tcPr>
          <w:p w14:paraId="04F482C4" w14:textId="77777777" w:rsidR="00A031A6" w:rsidRDefault="00916FD0">
            <w:pPr>
              <w:jc w:val="right"/>
              <w:rPr>
                <w:color w:val="000000"/>
                <w:sz w:val="14"/>
                <w:szCs w:val="14"/>
              </w:rPr>
            </w:pPr>
            <w:r>
              <w:rPr>
                <w:color w:val="000000"/>
                <w:sz w:val="14"/>
                <w:szCs w:val="14"/>
              </w:rPr>
              <w:t>0%</w:t>
            </w:r>
          </w:p>
        </w:tc>
      </w:tr>
      <w:tr w:rsidR="00A031A6" w14:paraId="7D936ED1" w14:textId="77777777">
        <w:trPr>
          <w:trHeight w:val="57"/>
        </w:trPr>
        <w:tc>
          <w:tcPr>
            <w:tcW w:w="1560" w:type="dxa"/>
            <w:gridSpan w:val="2"/>
            <w:tcBorders>
              <w:top w:val="nil"/>
              <w:left w:val="nil"/>
              <w:bottom w:val="nil"/>
              <w:right w:val="nil"/>
            </w:tcBorders>
            <w:shd w:val="clear" w:color="auto" w:fill="FFFFFF"/>
            <w:vAlign w:val="bottom"/>
          </w:tcPr>
          <w:p w14:paraId="1E433E8F" w14:textId="77777777"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14:paraId="14C3A987" w14:textId="77777777" w:rsidR="00A031A6" w:rsidRDefault="00916FD0">
            <w:pPr>
              <w:jc w:val="right"/>
              <w:rPr>
                <w:color w:val="000000"/>
                <w:sz w:val="14"/>
                <w:szCs w:val="14"/>
              </w:rPr>
            </w:pPr>
            <w:r>
              <w:rPr>
                <w:color w:val="000000"/>
                <w:sz w:val="14"/>
                <w:szCs w:val="14"/>
              </w:rPr>
              <w:t>10,260,648</w:t>
            </w:r>
          </w:p>
        </w:tc>
        <w:tc>
          <w:tcPr>
            <w:tcW w:w="1043" w:type="dxa"/>
            <w:gridSpan w:val="2"/>
            <w:tcBorders>
              <w:top w:val="nil"/>
              <w:left w:val="nil"/>
              <w:bottom w:val="nil"/>
              <w:right w:val="nil"/>
            </w:tcBorders>
            <w:shd w:val="clear" w:color="auto" w:fill="FFFFFF"/>
            <w:vAlign w:val="bottom"/>
          </w:tcPr>
          <w:p w14:paraId="314B4EA6" w14:textId="77777777" w:rsidR="00A031A6" w:rsidRDefault="00916FD0">
            <w:pPr>
              <w:jc w:val="right"/>
              <w:rPr>
                <w:color w:val="000000"/>
                <w:sz w:val="14"/>
                <w:szCs w:val="14"/>
              </w:rPr>
            </w:pPr>
            <w:r>
              <w:rPr>
                <w:color w:val="000000"/>
                <w:sz w:val="14"/>
                <w:szCs w:val="14"/>
              </w:rPr>
              <w:t>8,641,798</w:t>
            </w:r>
          </w:p>
        </w:tc>
        <w:tc>
          <w:tcPr>
            <w:tcW w:w="967" w:type="dxa"/>
            <w:gridSpan w:val="2"/>
            <w:tcBorders>
              <w:top w:val="nil"/>
              <w:left w:val="nil"/>
              <w:bottom w:val="nil"/>
              <w:right w:val="nil"/>
            </w:tcBorders>
            <w:shd w:val="clear" w:color="auto" w:fill="FFFFFF"/>
            <w:vAlign w:val="bottom"/>
          </w:tcPr>
          <w:p w14:paraId="31150F65" w14:textId="77777777" w:rsidR="00A031A6" w:rsidRDefault="00916FD0">
            <w:pPr>
              <w:jc w:val="right"/>
              <w:rPr>
                <w:color w:val="000000"/>
                <w:sz w:val="14"/>
                <w:szCs w:val="14"/>
              </w:rPr>
            </w:pPr>
            <w:r>
              <w:rPr>
                <w:color w:val="000000"/>
                <w:sz w:val="14"/>
                <w:szCs w:val="14"/>
              </w:rPr>
              <w:t>2,339,000</w:t>
            </w:r>
          </w:p>
        </w:tc>
        <w:tc>
          <w:tcPr>
            <w:tcW w:w="1510" w:type="dxa"/>
            <w:gridSpan w:val="2"/>
            <w:tcBorders>
              <w:top w:val="nil"/>
              <w:left w:val="nil"/>
              <w:bottom w:val="nil"/>
              <w:right w:val="nil"/>
            </w:tcBorders>
            <w:shd w:val="clear" w:color="auto" w:fill="FFFFFF"/>
            <w:vAlign w:val="bottom"/>
          </w:tcPr>
          <w:p w14:paraId="0FFC6E69" w14:textId="77777777" w:rsidR="00A031A6" w:rsidRDefault="00916FD0">
            <w:pPr>
              <w:jc w:val="right"/>
              <w:rPr>
                <w:color w:val="000000"/>
                <w:sz w:val="14"/>
                <w:szCs w:val="14"/>
              </w:rPr>
            </w:pPr>
            <w:r>
              <w:rPr>
                <w:color w:val="000000"/>
                <w:sz w:val="14"/>
                <w:szCs w:val="14"/>
              </w:rPr>
              <w:t>720,150</w:t>
            </w:r>
          </w:p>
        </w:tc>
        <w:tc>
          <w:tcPr>
            <w:tcW w:w="1254" w:type="dxa"/>
            <w:gridSpan w:val="2"/>
            <w:tcBorders>
              <w:top w:val="nil"/>
              <w:left w:val="nil"/>
              <w:bottom w:val="nil"/>
              <w:right w:val="nil"/>
            </w:tcBorders>
            <w:shd w:val="clear" w:color="auto" w:fill="FFFFFF"/>
            <w:vAlign w:val="bottom"/>
          </w:tcPr>
          <w:p w14:paraId="62246804"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29B7524C" w14:textId="77777777" w:rsidR="00A031A6" w:rsidRDefault="00916FD0">
            <w:pPr>
              <w:jc w:val="right"/>
              <w:rPr>
                <w:color w:val="000000"/>
                <w:sz w:val="14"/>
                <w:szCs w:val="14"/>
              </w:rPr>
            </w:pPr>
            <w:r>
              <w:rPr>
                <w:color w:val="000000"/>
                <w:sz w:val="14"/>
                <w:szCs w:val="14"/>
              </w:rPr>
              <w:t>10,260,648</w:t>
            </w:r>
          </w:p>
        </w:tc>
        <w:tc>
          <w:tcPr>
            <w:tcW w:w="986" w:type="dxa"/>
            <w:gridSpan w:val="2"/>
            <w:tcBorders>
              <w:top w:val="nil"/>
              <w:left w:val="nil"/>
              <w:bottom w:val="nil"/>
              <w:right w:val="nil"/>
            </w:tcBorders>
            <w:shd w:val="clear" w:color="auto" w:fill="FFFFFF"/>
            <w:vAlign w:val="bottom"/>
          </w:tcPr>
          <w:p w14:paraId="78DCF636"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4FDE7632"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24692A51"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71892A35" w14:textId="77777777" w:rsidR="00A031A6" w:rsidRDefault="00916FD0">
            <w:pPr>
              <w:jc w:val="right"/>
              <w:rPr>
                <w:color w:val="000000"/>
                <w:sz w:val="14"/>
                <w:szCs w:val="14"/>
              </w:rPr>
            </w:pPr>
            <w:r>
              <w:rPr>
                <w:color w:val="000000"/>
                <w:sz w:val="14"/>
                <w:szCs w:val="14"/>
              </w:rPr>
              <w:t>15%</w:t>
            </w:r>
          </w:p>
        </w:tc>
        <w:tc>
          <w:tcPr>
            <w:tcW w:w="1426" w:type="dxa"/>
            <w:gridSpan w:val="2"/>
            <w:tcBorders>
              <w:top w:val="nil"/>
              <w:left w:val="nil"/>
              <w:bottom w:val="nil"/>
              <w:right w:val="nil"/>
            </w:tcBorders>
            <w:shd w:val="clear" w:color="auto" w:fill="FFFFFF"/>
            <w:vAlign w:val="bottom"/>
          </w:tcPr>
          <w:p w14:paraId="362529B7" w14:textId="77777777" w:rsidR="00A031A6" w:rsidRDefault="00916FD0">
            <w:pPr>
              <w:jc w:val="right"/>
              <w:rPr>
                <w:color w:val="000000"/>
                <w:sz w:val="14"/>
                <w:szCs w:val="14"/>
              </w:rPr>
            </w:pPr>
            <w:r>
              <w:rPr>
                <w:color w:val="000000"/>
                <w:sz w:val="14"/>
                <w:szCs w:val="14"/>
              </w:rPr>
              <w:t>10,260,648</w:t>
            </w:r>
          </w:p>
        </w:tc>
        <w:tc>
          <w:tcPr>
            <w:tcW w:w="1070" w:type="dxa"/>
            <w:tcBorders>
              <w:top w:val="nil"/>
              <w:left w:val="nil"/>
              <w:bottom w:val="nil"/>
              <w:right w:val="nil"/>
            </w:tcBorders>
            <w:shd w:val="clear" w:color="auto" w:fill="FFFFFF"/>
            <w:vAlign w:val="bottom"/>
          </w:tcPr>
          <w:p w14:paraId="4ABE3210" w14:textId="77777777" w:rsidR="00A031A6" w:rsidRDefault="00916FD0">
            <w:pPr>
              <w:jc w:val="right"/>
              <w:rPr>
                <w:color w:val="000000"/>
                <w:sz w:val="14"/>
                <w:szCs w:val="14"/>
              </w:rPr>
            </w:pPr>
            <w:r>
              <w:rPr>
                <w:color w:val="000000"/>
                <w:sz w:val="14"/>
                <w:szCs w:val="14"/>
              </w:rPr>
              <w:t>0%</w:t>
            </w:r>
          </w:p>
        </w:tc>
      </w:tr>
      <w:tr w:rsidR="00A031A6" w14:paraId="7316C68F" w14:textId="77777777">
        <w:trPr>
          <w:trHeight w:val="57"/>
        </w:trPr>
        <w:tc>
          <w:tcPr>
            <w:tcW w:w="1560" w:type="dxa"/>
            <w:gridSpan w:val="2"/>
            <w:tcBorders>
              <w:top w:val="nil"/>
              <w:left w:val="nil"/>
              <w:bottom w:val="nil"/>
              <w:right w:val="nil"/>
            </w:tcBorders>
            <w:shd w:val="clear" w:color="auto" w:fill="FFFFFF"/>
            <w:vAlign w:val="bottom"/>
          </w:tcPr>
          <w:p w14:paraId="1C0F546B" w14:textId="77777777"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14:paraId="13265687" w14:textId="77777777" w:rsidR="00A031A6" w:rsidRDefault="00916FD0">
            <w:pPr>
              <w:jc w:val="right"/>
              <w:rPr>
                <w:color w:val="000000"/>
                <w:sz w:val="14"/>
                <w:szCs w:val="14"/>
              </w:rPr>
            </w:pPr>
            <w:r>
              <w:rPr>
                <w:color w:val="000000"/>
                <w:sz w:val="14"/>
                <w:szCs w:val="14"/>
              </w:rPr>
              <w:t>11,838,115</w:t>
            </w:r>
          </w:p>
        </w:tc>
        <w:tc>
          <w:tcPr>
            <w:tcW w:w="1043" w:type="dxa"/>
            <w:gridSpan w:val="2"/>
            <w:tcBorders>
              <w:top w:val="nil"/>
              <w:left w:val="nil"/>
              <w:bottom w:val="nil"/>
              <w:right w:val="nil"/>
            </w:tcBorders>
            <w:shd w:val="clear" w:color="auto" w:fill="FFFFFF"/>
            <w:vAlign w:val="bottom"/>
          </w:tcPr>
          <w:p w14:paraId="40D241B9" w14:textId="77777777" w:rsidR="00A031A6" w:rsidRDefault="00916FD0">
            <w:pPr>
              <w:jc w:val="right"/>
              <w:rPr>
                <w:color w:val="000000"/>
                <w:sz w:val="14"/>
                <w:szCs w:val="14"/>
              </w:rPr>
            </w:pPr>
            <w:r>
              <w:rPr>
                <w:color w:val="000000"/>
                <w:sz w:val="14"/>
                <w:szCs w:val="14"/>
              </w:rPr>
              <w:t>10,260,648</w:t>
            </w:r>
          </w:p>
        </w:tc>
        <w:tc>
          <w:tcPr>
            <w:tcW w:w="967" w:type="dxa"/>
            <w:gridSpan w:val="2"/>
            <w:tcBorders>
              <w:top w:val="nil"/>
              <w:left w:val="nil"/>
              <w:bottom w:val="nil"/>
              <w:right w:val="nil"/>
            </w:tcBorders>
            <w:shd w:val="clear" w:color="auto" w:fill="FFFFFF"/>
            <w:vAlign w:val="bottom"/>
          </w:tcPr>
          <w:p w14:paraId="5D303763" w14:textId="77777777" w:rsidR="00A031A6" w:rsidRDefault="00916FD0">
            <w:pPr>
              <w:jc w:val="right"/>
              <w:rPr>
                <w:color w:val="000000"/>
                <w:sz w:val="14"/>
                <w:szCs w:val="14"/>
              </w:rPr>
            </w:pPr>
            <w:r>
              <w:rPr>
                <w:color w:val="000000"/>
                <w:sz w:val="14"/>
                <w:szCs w:val="14"/>
              </w:rPr>
              <w:t>2,432,521</w:t>
            </w:r>
          </w:p>
        </w:tc>
        <w:tc>
          <w:tcPr>
            <w:tcW w:w="1510" w:type="dxa"/>
            <w:gridSpan w:val="2"/>
            <w:tcBorders>
              <w:top w:val="nil"/>
              <w:left w:val="nil"/>
              <w:bottom w:val="nil"/>
              <w:right w:val="nil"/>
            </w:tcBorders>
            <w:shd w:val="clear" w:color="auto" w:fill="FFFFFF"/>
            <w:vAlign w:val="bottom"/>
          </w:tcPr>
          <w:p w14:paraId="1DC9C15C" w14:textId="77777777" w:rsidR="00A031A6" w:rsidRDefault="00916FD0">
            <w:pPr>
              <w:jc w:val="right"/>
              <w:rPr>
                <w:color w:val="000000"/>
                <w:sz w:val="14"/>
                <w:szCs w:val="14"/>
              </w:rPr>
            </w:pPr>
            <w:r>
              <w:rPr>
                <w:color w:val="000000"/>
                <w:sz w:val="14"/>
                <w:szCs w:val="14"/>
              </w:rPr>
              <w:t>855,054</w:t>
            </w:r>
          </w:p>
        </w:tc>
        <w:tc>
          <w:tcPr>
            <w:tcW w:w="1254" w:type="dxa"/>
            <w:gridSpan w:val="2"/>
            <w:tcBorders>
              <w:top w:val="nil"/>
              <w:left w:val="nil"/>
              <w:bottom w:val="nil"/>
              <w:right w:val="nil"/>
            </w:tcBorders>
            <w:shd w:val="clear" w:color="auto" w:fill="FFFFFF"/>
            <w:vAlign w:val="bottom"/>
          </w:tcPr>
          <w:p w14:paraId="600BAB94"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3AC23FB5" w14:textId="77777777" w:rsidR="00A031A6" w:rsidRDefault="00916FD0">
            <w:pPr>
              <w:jc w:val="right"/>
              <w:rPr>
                <w:color w:val="000000"/>
                <w:sz w:val="14"/>
                <w:szCs w:val="14"/>
              </w:rPr>
            </w:pPr>
            <w:r>
              <w:rPr>
                <w:color w:val="000000"/>
                <w:sz w:val="14"/>
                <w:szCs w:val="14"/>
              </w:rPr>
              <w:t>11,838,115</w:t>
            </w:r>
          </w:p>
        </w:tc>
        <w:tc>
          <w:tcPr>
            <w:tcW w:w="986" w:type="dxa"/>
            <w:gridSpan w:val="2"/>
            <w:tcBorders>
              <w:top w:val="nil"/>
              <w:left w:val="nil"/>
              <w:bottom w:val="nil"/>
              <w:right w:val="nil"/>
            </w:tcBorders>
            <w:shd w:val="clear" w:color="auto" w:fill="FFFFFF"/>
            <w:vAlign w:val="bottom"/>
          </w:tcPr>
          <w:p w14:paraId="4912CEA8"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718EDCF1"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10BF088F"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0BB804EF" w14:textId="77777777" w:rsidR="00A031A6" w:rsidRDefault="00916FD0">
            <w:pPr>
              <w:jc w:val="right"/>
              <w:rPr>
                <w:color w:val="000000"/>
                <w:sz w:val="14"/>
                <w:szCs w:val="14"/>
              </w:rPr>
            </w:pPr>
            <w:r>
              <w:rPr>
                <w:color w:val="000000"/>
                <w:sz w:val="14"/>
                <w:szCs w:val="14"/>
              </w:rPr>
              <w:t>17%</w:t>
            </w:r>
          </w:p>
        </w:tc>
        <w:tc>
          <w:tcPr>
            <w:tcW w:w="1426" w:type="dxa"/>
            <w:gridSpan w:val="2"/>
            <w:tcBorders>
              <w:top w:val="nil"/>
              <w:left w:val="nil"/>
              <w:bottom w:val="nil"/>
              <w:right w:val="nil"/>
            </w:tcBorders>
            <w:shd w:val="clear" w:color="auto" w:fill="FFFFFF"/>
            <w:vAlign w:val="bottom"/>
          </w:tcPr>
          <w:p w14:paraId="2DA1F408" w14:textId="77777777" w:rsidR="00A031A6" w:rsidRDefault="00916FD0">
            <w:pPr>
              <w:jc w:val="right"/>
              <w:rPr>
                <w:color w:val="000000"/>
                <w:sz w:val="14"/>
                <w:szCs w:val="14"/>
              </w:rPr>
            </w:pPr>
            <w:r>
              <w:rPr>
                <w:color w:val="000000"/>
                <w:sz w:val="14"/>
                <w:szCs w:val="14"/>
              </w:rPr>
              <w:t>11,838,115</w:t>
            </w:r>
          </w:p>
        </w:tc>
        <w:tc>
          <w:tcPr>
            <w:tcW w:w="1070" w:type="dxa"/>
            <w:tcBorders>
              <w:top w:val="nil"/>
              <w:left w:val="nil"/>
              <w:bottom w:val="nil"/>
              <w:right w:val="nil"/>
            </w:tcBorders>
            <w:shd w:val="clear" w:color="auto" w:fill="FFFFFF"/>
            <w:vAlign w:val="bottom"/>
          </w:tcPr>
          <w:p w14:paraId="391B9B04" w14:textId="77777777" w:rsidR="00A031A6" w:rsidRDefault="00916FD0">
            <w:pPr>
              <w:jc w:val="right"/>
              <w:rPr>
                <w:color w:val="000000"/>
                <w:sz w:val="14"/>
                <w:szCs w:val="14"/>
              </w:rPr>
            </w:pPr>
            <w:r>
              <w:rPr>
                <w:color w:val="000000"/>
                <w:sz w:val="14"/>
                <w:szCs w:val="14"/>
              </w:rPr>
              <w:t>0%</w:t>
            </w:r>
          </w:p>
        </w:tc>
      </w:tr>
      <w:tr w:rsidR="00A031A6" w14:paraId="73596D84" w14:textId="77777777">
        <w:trPr>
          <w:trHeight w:val="57"/>
        </w:trPr>
        <w:tc>
          <w:tcPr>
            <w:tcW w:w="1560" w:type="dxa"/>
            <w:gridSpan w:val="2"/>
            <w:tcBorders>
              <w:top w:val="nil"/>
              <w:left w:val="nil"/>
              <w:bottom w:val="nil"/>
              <w:right w:val="nil"/>
            </w:tcBorders>
            <w:shd w:val="clear" w:color="auto" w:fill="FFFFFF"/>
            <w:vAlign w:val="bottom"/>
          </w:tcPr>
          <w:p w14:paraId="4BCC618C" w14:textId="77777777"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14:paraId="7AC70C9A" w14:textId="77777777" w:rsidR="00A031A6" w:rsidRDefault="00916FD0">
            <w:pPr>
              <w:jc w:val="right"/>
              <w:rPr>
                <w:color w:val="000000"/>
                <w:sz w:val="14"/>
                <w:szCs w:val="14"/>
              </w:rPr>
            </w:pPr>
            <w:r>
              <w:rPr>
                <w:color w:val="000000"/>
                <w:sz w:val="14"/>
                <w:szCs w:val="14"/>
              </w:rPr>
              <w:t>13,381,386</w:t>
            </w:r>
          </w:p>
        </w:tc>
        <w:tc>
          <w:tcPr>
            <w:tcW w:w="1043" w:type="dxa"/>
            <w:gridSpan w:val="2"/>
            <w:tcBorders>
              <w:top w:val="nil"/>
              <w:left w:val="nil"/>
              <w:bottom w:val="nil"/>
              <w:right w:val="nil"/>
            </w:tcBorders>
            <w:shd w:val="clear" w:color="auto" w:fill="FFFFFF"/>
            <w:vAlign w:val="bottom"/>
          </w:tcPr>
          <w:p w14:paraId="413B5A7E" w14:textId="77777777" w:rsidR="00A031A6" w:rsidRDefault="00916FD0">
            <w:pPr>
              <w:jc w:val="right"/>
              <w:rPr>
                <w:color w:val="000000"/>
                <w:sz w:val="14"/>
                <w:szCs w:val="14"/>
              </w:rPr>
            </w:pPr>
            <w:r>
              <w:rPr>
                <w:color w:val="000000"/>
                <w:sz w:val="14"/>
                <w:szCs w:val="14"/>
              </w:rPr>
              <w:t>11,838,115</w:t>
            </w:r>
          </w:p>
        </w:tc>
        <w:tc>
          <w:tcPr>
            <w:tcW w:w="967" w:type="dxa"/>
            <w:gridSpan w:val="2"/>
            <w:tcBorders>
              <w:top w:val="nil"/>
              <w:left w:val="nil"/>
              <w:bottom w:val="nil"/>
              <w:right w:val="nil"/>
            </w:tcBorders>
            <w:shd w:val="clear" w:color="auto" w:fill="FFFFFF"/>
            <w:vAlign w:val="bottom"/>
          </w:tcPr>
          <w:p w14:paraId="1D0B7901" w14:textId="77777777" w:rsidR="00A031A6" w:rsidRDefault="00916FD0">
            <w:pPr>
              <w:jc w:val="right"/>
              <w:rPr>
                <w:color w:val="000000"/>
                <w:sz w:val="14"/>
                <w:szCs w:val="14"/>
              </w:rPr>
            </w:pPr>
            <w:r>
              <w:rPr>
                <w:color w:val="000000"/>
                <w:sz w:val="14"/>
                <w:szCs w:val="14"/>
              </w:rPr>
              <w:t>2,529,781</w:t>
            </w:r>
          </w:p>
        </w:tc>
        <w:tc>
          <w:tcPr>
            <w:tcW w:w="1510" w:type="dxa"/>
            <w:gridSpan w:val="2"/>
            <w:tcBorders>
              <w:top w:val="nil"/>
              <w:left w:val="nil"/>
              <w:bottom w:val="nil"/>
              <w:right w:val="nil"/>
            </w:tcBorders>
            <w:shd w:val="clear" w:color="auto" w:fill="FFFFFF"/>
            <w:vAlign w:val="bottom"/>
          </w:tcPr>
          <w:p w14:paraId="5C2DDE0C" w14:textId="77777777" w:rsidR="00A031A6" w:rsidRDefault="00916FD0">
            <w:pPr>
              <w:jc w:val="right"/>
              <w:rPr>
                <w:color w:val="000000"/>
                <w:sz w:val="14"/>
                <w:szCs w:val="14"/>
              </w:rPr>
            </w:pPr>
            <w:r>
              <w:rPr>
                <w:color w:val="000000"/>
                <w:sz w:val="14"/>
                <w:szCs w:val="14"/>
              </w:rPr>
              <w:t>986,510</w:t>
            </w:r>
          </w:p>
        </w:tc>
        <w:tc>
          <w:tcPr>
            <w:tcW w:w="1254" w:type="dxa"/>
            <w:gridSpan w:val="2"/>
            <w:tcBorders>
              <w:top w:val="nil"/>
              <w:left w:val="nil"/>
              <w:bottom w:val="nil"/>
              <w:right w:val="nil"/>
            </w:tcBorders>
            <w:shd w:val="clear" w:color="auto" w:fill="FFFFFF"/>
            <w:vAlign w:val="bottom"/>
          </w:tcPr>
          <w:p w14:paraId="66AC6586"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7EBFA67C" w14:textId="77777777" w:rsidR="00A031A6" w:rsidRDefault="00916FD0">
            <w:pPr>
              <w:jc w:val="right"/>
              <w:rPr>
                <w:color w:val="000000"/>
                <w:sz w:val="14"/>
                <w:szCs w:val="14"/>
              </w:rPr>
            </w:pPr>
            <w:r>
              <w:rPr>
                <w:color w:val="000000"/>
                <w:sz w:val="14"/>
                <w:szCs w:val="14"/>
              </w:rPr>
              <w:t>13,381,386</w:t>
            </w:r>
          </w:p>
        </w:tc>
        <w:tc>
          <w:tcPr>
            <w:tcW w:w="986" w:type="dxa"/>
            <w:gridSpan w:val="2"/>
            <w:tcBorders>
              <w:top w:val="nil"/>
              <w:left w:val="nil"/>
              <w:bottom w:val="nil"/>
              <w:right w:val="nil"/>
            </w:tcBorders>
            <w:shd w:val="clear" w:color="auto" w:fill="FFFFFF"/>
            <w:vAlign w:val="bottom"/>
          </w:tcPr>
          <w:p w14:paraId="1962D6F7"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7FDD7534"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6DE643EC"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35C8B4A3" w14:textId="77777777" w:rsidR="00A031A6" w:rsidRDefault="00916FD0">
            <w:pPr>
              <w:jc w:val="right"/>
              <w:rPr>
                <w:color w:val="000000"/>
                <w:sz w:val="14"/>
                <w:szCs w:val="14"/>
              </w:rPr>
            </w:pPr>
            <w:r>
              <w:rPr>
                <w:color w:val="000000"/>
                <w:sz w:val="14"/>
                <w:szCs w:val="14"/>
              </w:rPr>
              <w:t>19%</w:t>
            </w:r>
          </w:p>
        </w:tc>
        <w:tc>
          <w:tcPr>
            <w:tcW w:w="1426" w:type="dxa"/>
            <w:gridSpan w:val="2"/>
            <w:tcBorders>
              <w:top w:val="nil"/>
              <w:left w:val="nil"/>
              <w:bottom w:val="nil"/>
              <w:right w:val="nil"/>
            </w:tcBorders>
            <w:shd w:val="clear" w:color="auto" w:fill="FFFFFF"/>
            <w:vAlign w:val="bottom"/>
          </w:tcPr>
          <w:p w14:paraId="6FC6AD73" w14:textId="77777777" w:rsidR="00A031A6" w:rsidRDefault="00916FD0">
            <w:pPr>
              <w:jc w:val="right"/>
              <w:rPr>
                <w:color w:val="000000"/>
                <w:sz w:val="14"/>
                <w:szCs w:val="14"/>
              </w:rPr>
            </w:pPr>
            <w:r>
              <w:rPr>
                <w:color w:val="000000"/>
                <w:sz w:val="14"/>
                <w:szCs w:val="14"/>
              </w:rPr>
              <w:t>13,381,386</w:t>
            </w:r>
          </w:p>
        </w:tc>
        <w:tc>
          <w:tcPr>
            <w:tcW w:w="1070" w:type="dxa"/>
            <w:tcBorders>
              <w:top w:val="nil"/>
              <w:left w:val="nil"/>
              <w:bottom w:val="nil"/>
              <w:right w:val="nil"/>
            </w:tcBorders>
            <w:shd w:val="clear" w:color="auto" w:fill="FFFFFF"/>
            <w:vAlign w:val="bottom"/>
          </w:tcPr>
          <w:p w14:paraId="33F9059F" w14:textId="77777777" w:rsidR="00A031A6" w:rsidRDefault="00916FD0">
            <w:pPr>
              <w:jc w:val="right"/>
              <w:rPr>
                <w:color w:val="000000"/>
                <w:sz w:val="14"/>
                <w:szCs w:val="14"/>
              </w:rPr>
            </w:pPr>
            <w:r>
              <w:rPr>
                <w:color w:val="000000"/>
                <w:sz w:val="14"/>
                <w:szCs w:val="14"/>
              </w:rPr>
              <w:t>0%</w:t>
            </w:r>
          </w:p>
        </w:tc>
      </w:tr>
      <w:tr w:rsidR="00A031A6" w14:paraId="4677B8A7" w14:textId="77777777">
        <w:trPr>
          <w:trHeight w:val="57"/>
        </w:trPr>
        <w:tc>
          <w:tcPr>
            <w:tcW w:w="1560" w:type="dxa"/>
            <w:gridSpan w:val="2"/>
            <w:tcBorders>
              <w:top w:val="nil"/>
              <w:left w:val="nil"/>
              <w:bottom w:val="nil"/>
              <w:right w:val="nil"/>
            </w:tcBorders>
            <w:shd w:val="clear" w:color="auto" w:fill="FFFFFF"/>
            <w:vAlign w:val="bottom"/>
          </w:tcPr>
          <w:p w14:paraId="48CB491A" w14:textId="77777777"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14:paraId="39C056DE" w14:textId="77777777" w:rsidR="00A031A6" w:rsidRDefault="00916FD0">
            <w:pPr>
              <w:jc w:val="right"/>
              <w:rPr>
                <w:color w:val="000000"/>
                <w:sz w:val="14"/>
                <w:szCs w:val="14"/>
              </w:rPr>
            </w:pPr>
            <w:r>
              <w:rPr>
                <w:color w:val="000000"/>
                <w:sz w:val="14"/>
                <w:szCs w:val="14"/>
              </w:rPr>
              <w:t>14,897,201</w:t>
            </w:r>
          </w:p>
        </w:tc>
        <w:tc>
          <w:tcPr>
            <w:tcW w:w="1043" w:type="dxa"/>
            <w:gridSpan w:val="2"/>
            <w:tcBorders>
              <w:top w:val="nil"/>
              <w:left w:val="nil"/>
              <w:bottom w:val="nil"/>
              <w:right w:val="nil"/>
            </w:tcBorders>
            <w:shd w:val="clear" w:color="auto" w:fill="FFFFFF"/>
            <w:vAlign w:val="bottom"/>
          </w:tcPr>
          <w:p w14:paraId="22D1561F" w14:textId="77777777" w:rsidR="00A031A6" w:rsidRDefault="00916FD0">
            <w:pPr>
              <w:jc w:val="right"/>
              <w:rPr>
                <w:color w:val="000000"/>
                <w:sz w:val="14"/>
                <w:szCs w:val="14"/>
              </w:rPr>
            </w:pPr>
            <w:r>
              <w:rPr>
                <w:color w:val="000000"/>
                <w:sz w:val="14"/>
                <w:szCs w:val="14"/>
              </w:rPr>
              <w:t>13,381,386</w:t>
            </w:r>
          </w:p>
        </w:tc>
        <w:tc>
          <w:tcPr>
            <w:tcW w:w="967" w:type="dxa"/>
            <w:gridSpan w:val="2"/>
            <w:tcBorders>
              <w:top w:val="nil"/>
              <w:left w:val="nil"/>
              <w:bottom w:val="nil"/>
              <w:right w:val="nil"/>
            </w:tcBorders>
            <w:shd w:val="clear" w:color="auto" w:fill="FFFFFF"/>
            <w:vAlign w:val="bottom"/>
          </w:tcPr>
          <w:p w14:paraId="53E1A413" w14:textId="77777777" w:rsidR="00A031A6" w:rsidRDefault="00916FD0">
            <w:pPr>
              <w:jc w:val="right"/>
              <w:rPr>
                <w:color w:val="000000"/>
                <w:sz w:val="14"/>
                <w:szCs w:val="14"/>
              </w:rPr>
            </w:pPr>
            <w:r>
              <w:rPr>
                <w:color w:val="000000"/>
                <w:sz w:val="14"/>
                <w:szCs w:val="14"/>
              </w:rPr>
              <w:t>2,630,930</w:t>
            </w:r>
          </w:p>
        </w:tc>
        <w:tc>
          <w:tcPr>
            <w:tcW w:w="1510" w:type="dxa"/>
            <w:gridSpan w:val="2"/>
            <w:tcBorders>
              <w:top w:val="nil"/>
              <w:left w:val="nil"/>
              <w:bottom w:val="nil"/>
              <w:right w:val="nil"/>
            </w:tcBorders>
            <w:shd w:val="clear" w:color="auto" w:fill="FFFFFF"/>
            <w:vAlign w:val="bottom"/>
          </w:tcPr>
          <w:p w14:paraId="12604B51" w14:textId="77777777" w:rsidR="00A031A6" w:rsidRDefault="00916FD0">
            <w:pPr>
              <w:jc w:val="right"/>
              <w:rPr>
                <w:color w:val="000000"/>
                <w:sz w:val="14"/>
                <w:szCs w:val="14"/>
              </w:rPr>
            </w:pPr>
            <w:r>
              <w:rPr>
                <w:color w:val="000000"/>
                <w:sz w:val="14"/>
                <w:szCs w:val="14"/>
              </w:rPr>
              <w:t>1,115,116</w:t>
            </w:r>
          </w:p>
        </w:tc>
        <w:tc>
          <w:tcPr>
            <w:tcW w:w="1254" w:type="dxa"/>
            <w:gridSpan w:val="2"/>
            <w:tcBorders>
              <w:top w:val="nil"/>
              <w:left w:val="nil"/>
              <w:bottom w:val="nil"/>
              <w:right w:val="nil"/>
            </w:tcBorders>
            <w:shd w:val="clear" w:color="auto" w:fill="FFFFFF"/>
            <w:vAlign w:val="bottom"/>
          </w:tcPr>
          <w:p w14:paraId="133610CF"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1C2F9963" w14:textId="77777777" w:rsidR="00A031A6" w:rsidRDefault="00916FD0">
            <w:pPr>
              <w:jc w:val="right"/>
              <w:rPr>
                <w:color w:val="000000"/>
                <w:sz w:val="14"/>
                <w:szCs w:val="14"/>
              </w:rPr>
            </w:pPr>
            <w:r>
              <w:rPr>
                <w:color w:val="000000"/>
                <w:sz w:val="14"/>
                <w:szCs w:val="14"/>
              </w:rPr>
              <w:t>12,266,271</w:t>
            </w:r>
          </w:p>
        </w:tc>
        <w:tc>
          <w:tcPr>
            <w:tcW w:w="986" w:type="dxa"/>
            <w:gridSpan w:val="2"/>
            <w:tcBorders>
              <w:top w:val="nil"/>
              <w:left w:val="nil"/>
              <w:bottom w:val="nil"/>
              <w:right w:val="nil"/>
            </w:tcBorders>
            <w:shd w:val="clear" w:color="auto" w:fill="FFFFFF"/>
            <w:vAlign w:val="bottom"/>
          </w:tcPr>
          <w:p w14:paraId="691C29AD" w14:textId="77777777" w:rsidR="00A031A6" w:rsidRDefault="00916FD0">
            <w:pPr>
              <w:jc w:val="right"/>
              <w:rPr>
                <w:color w:val="000000"/>
                <w:sz w:val="14"/>
                <w:szCs w:val="14"/>
              </w:rPr>
            </w:pPr>
            <w:r>
              <w:rPr>
                <w:color w:val="000000"/>
                <w:sz w:val="14"/>
                <w:szCs w:val="14"/>
              </w:rPr>
              <w:t>82%</w:t>
            </w:r>
          </w:p>
        </w:tc>
        <w:tc>
          <w:tcPr>
            <w:tcW w:w="1214" w:type="dxa"/>
            <w:gridSpan w:val="2"/>
            <w:tcBorders>
              <w:top w:val="nil"/>
              <w:left w:val="nil"/>
              <w:bottom w:val="nil"/>
              <w:right w:val="nil"/>
            </w:tcBorders>
            <w:shd w:val="clear" w:color="auto" w:fill="FFFFFF"/>
            <w:vAlign w:val="bottom"/>
          </w:tcPr>
          <w:p w14:paraId="7877D352" w14:textId="77777777" w:rsidR="00A031A6" w:rsidRDefault="00916FD0">
            <w:pPr>
              <w:jc w:val="right"/>
              <w:rPr>
                <w:color w:val="000000"/>
                <w:sz w:val="14"/>
                <w:szCs w:val="14"/>
              </w:rPr>
            </w:pPr>
            <w:r>
              <w:rPr>
                <w:color w:val="000000"/>
                <w:sz w:val="14"/>
                <w:szCs w:val="14"/>
              </w:rPr>
              <w:t>2,630,930</w:t>
            </w:r>
          </w:p>
        </w:tc>
        <w:tc>
          <w:tcPr>
            <w:tcW w:w="1216" w:type="dxa"/>
            <w:gridSpan w:val="2"/>
            <w:tcBorders>
              <w:top w:val="nil"/>
              <w:left w:val="nil"/>
              <w:bottom w:val="nil"/>
              <w:right w:val="nil"/>
            </w:tcBorders>
            <w:shd w:val="clear" w:color="auto" w:fill="FFFFFF"/>
            <w:vAlign w:val="bottom"/>
          </w:tcPr>
          <w:p w14:paraId="27F2EC33" w14:textId="77777777" w:rsidR="00A031A6" w:rsidRDefault="00916FD0">
            <w:pPr>
              <w:jc w:val="right"/>
              <w:rPr>
                <w:color w:val="000000"/>
                <w:sz w:val="14"/>
                <w:szCs w:val="14"/>
              </w:rPr>
            </w:pPr>
            <w:r>
              <w:rPr>
                <w:color w:val="000000"/>
                <w:sz w:val="14"/>
                <w:szCs w:val="14"/>
              </w:rPr>
              <w:t>18%</w:t>
            </w:r>
          </w:p>
        </w:tc>
        <w:tc>
          <w:tcPr>
            <w:tcW w:w="988" w:type="dxa"/>
            <w:gridSpan w:val="2"/>
            <w:tcBorders>
              <w:top w:val="nil"/>
              <w:left w:val="nil"/>
              <w:bottom w:val="nil"/>
              <w:right w:val="nil"/>
            </w:tcBorders>
            <w:shd w:val="clear" w:color="auto" w:fill="FFFFFF"/>
            <w:vAlign w:val="bottom"/>
          </w:tcPr>
          <w:p w14:paraId="2D5C1A4C" w14:textId="77777777" w:rsidR="00A031A6" w:rsidRDefault="00916FD0">
            <w:pPr>
              <w:jc w:val="right"/>
              <w:rPr>
                <w:color w:val="000000"/>
                <w:sz w:val="14"/>
                <w:szCs w:val="14"/>
              </w:rPr>
            </w:pPr>
            <w:r>
              <w:rPr>
                <w:color w:val="000000"/>
                <w:sz w:val="14"/>
                <w:szCs w:val="14"/>
              </w:rPr>
              <w:t>21%</w:t>
            </w:r>
          </w:p>
        </w:tc>
        <w:tc>
          <w:tcPr>
            <w:tcW w:w="1426" w:type="dxa"/>
            <w:gridSpan w:val="2"/>
            <w:tcBorders>
              <w:top w:val="nil"/>
              <w:left w:val="nil"/>
              <w:bottom w:val="nil"/>
              <w:right w:val="nil"/>
            </w:tcBorders>
            <w:shd w:val="clear" w:color="auto" w:fill="FFFFFF"/>
            <w:vAlign w:val="bottom"/>
          </w:tcPr>
          <w:p w14:paraId="4169B12C" w14:textId="77777777" w:rsidR="00A031A6" w:rsidRDefault="00916FD0">
            <w:pPr>
              <w:jc w:val="right"/>
              <w:rPr>
                <w:color w:val="000000"/>
                <w:sz w:val="14"/>
                <w:szCs w:val="14"/>
              </w:rPr>
            </w:pPr>
            <w:r>
              <w:rPr>
                <w:color w:val="000000"/>
                <w:sz w:val="14"/>
                <w:szCs w:val="14"/>
              </w:rPr>
              <w:t>14,897,201</w:t>
            </w:r>
          </w:p>
        </w:tc>
        <w:tc>
          <w:tcPr>
            <w:tcW w:w="1070" w:type="dxa"/>
            <w:tcBorders>
              <w:top w:val="nil"/>
              <w:left w:val="nil"/>
              <w:bottom w:val="nil"/>
              <w:right w:val="nil"/>
            </w:tcBorders>
            <w:shd w:val="clear" w:color="auto" w:fill="FFFFFF"/>
            <w:vAlign w:val="bottom"/>
          </w:tcPr>
          <w:p w14:paraId="0EBEBD7A" w14:textId="77777777" w:rsidR="00A031A6" w:rsidRDefault="00916FD0">
            <w:pPr>
              <w:jc w:val="right"/>
              <w:rPr>
                <w:color w:val="000000"/>
                <w:sz w:val="14"/>
                <w:szCs w:val="14"/>
              </w:rPr>
            </w:pPr>
            <w:r>
              <w:rPr>
                <w:color w:val="000000"/>
                <w:sz w:val="14"/>
                <w:szCs w:val="14"/>
              </w:rPr>
              <w:t>0%</w:t>
            </w:r>
          </w:p>
        </w:tc>
      </w:tr>
      <w:tr w:rsidR="00A031A6" w14:paraId="667A554C" w14:textId="77777777">
        <w:trPr>
          <w:trHeight w:val="57"/>
        </w:trPr>
        <w:tc>
          <w:tcPr>
            <w:tcW w:w="1560" w:type="dxa"/>
            <w:gridSpan w:val="2"/>
            <w:tcBorders>
              <w:top w:val="nil"/>
              <w:left w:val="nil"/>
              <w:bottom w:val="nil"/>
              <w:right w:val="nil"/>
            </w:tcBorders>
            <w:shd w:val="clear" w:color="auto" w:fill="FFFFFF"/>
            <w:vAlign w:val="bottom"/>
          </w:tcPr>
          <w:p w14:paraId="79F3B582" w14:textId="77777777"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14:paraId="15872A13" w14:textId="77777777" w:rsidR="00A031A6" w:rsidRDefault="00916FD0">
            <w:pPr>
              <w:jc w:val="right"/>
              <w:rPr>
                <w:color w:val="000000"/>
                <w:sz w:val="14"/>
                <w:szCs w:val="14"/>
              </w:rPr>
            </w:pPr>
            <w:r>
              <w:rPr>
                <w:color w:val="000000"/>
                <w:sz w:val="14"/>
                <w:szCs w:val="14"/>
              </w:rPr>
              <w:t>16,391,891</w:t>
            </w:r>
          </w:p>
        </w:tc>
        <w:tc>
          <w:tcPr>
            <w:tcW w:w="1043" w:type="dxa"/>
            <w:gridSpan w:val="2"/>
            <w:tcBorders>
              <w:top w:val="nil"/>
              <w:left w:val="nil"/>
              <w:bottom w:val="nil"/>
              <w:right w:val="nil"/>
            </w:tcBorders>
            <w:shd w:val="clear" w:color="auto" w:fill="FFFFFF"/>
            <w:vAlign w:val="bottom"/>
          </w:tcPr>
          <w:p w14:paraId="7D65D977" w14:textId="77777777" w:rsidR="00A031A6" w:rsidRDefault="00916FD0">
            <w:pPr>
              <w:jc w:val="right"/>
              <w:rPr>
                <w:color w:val="000000"/>
                <w:sz w:val="14"/>
                <w:szCs w:val="14"/>
              </w:rPr>
            </w:pPr>
            <w:r>
              <w:rPr>
                <w:color w:val="000000"/>
                <w:sz w:val="14"/>
                <w:szCs w:val="14"/>
              </w:rPr>
              <w:t>14,897,201</w:t>
            </w:r>
          </w:p>
        </w:tc>
        <w:tc>
          <w:tcPr>
            <w:tcW w:w="967" w:type="dxa"/>
            <w:gridSpan w:val="2"/>
            <w:tcBorders>
              <w:top w:val="nil"/>
              <w:left w:val="nil"/>
              <w:bottom w:val="nil"/>
              <w:right w:val="nil"/>
            </w:tcBorders>
            <w:shd w:val="clear" w:color="auto" w:fill="FFFFFF"/>
            <w:vAlign w:val="bottom"/>
          </w:tcPr>
          <w:p w14:paraId="47549DC5" w14:textId="77777777" w:rsidR="00A031A6" w:rsidRDefault="00916FD0">
            <w:pPr>
              <w:jc w:val="right"/>
              <w:rPr>
                <w:color w:val="000000"/>
                <w:sz w:val="14"/>
                <w:szCs w:val="14"/>
              </w:rPr>
            </w:pPr>
            <w:r>
              <w:rPr>
                <w:color w:val="000000"/>
                <w:sz w:val="14"/>
                <w:szCs w:val="14"/>
              </w:rPr>
              <w:t>2,736,123</w:t>
            </w:r>
          </w:p>
        </w:tc>
        <w:tc>
          <w:tcPr>
            <w:tcW w:w="1510" w:type="dxa"/>
            <w:gridSpan w:val="2"/>
            <w:tcBorders>
              <w:top w:val="nil"/>
              <w:left w:val="nil"/>
              <w:bottom w:val="nil"/>
              <w:right w:val="nil"/>
            </w:tcBorders>
            <w:shd w:val="clear" w:color="auto" w:fill="FFFFFF"/>
            <w:vAlign w:val="bottom"/>
          </w:tcPr>
          <w:p w14:paraId="14356C01" w14:textId="77777777" w:rsidR="00A031A6" w:rsidRDefault="00916FD0">
            <w:pPr>
              <w:jc w:val="right"/>
              <w:rPr>
                <w:color w:val="000000"/>
                <w:sz w:val="14"/>
                <w:szCs w:val="14"/>
              </w:rPr>
            </w:pPr>
            <w:r>
              <w:rPr>
                <w:color w:val="000000"/>
                <w:sz w:val="14"/>
                <w:szCs w:val="14"/>
              </w:rPr>
              <w:t>1,022,189</w:t>
            </w:r>
          </w:p>
        </w:tc>
        <w:tc>
          <w:tcPr>
            <w:tcW w:w="1254" w:type="dxa"/>
            <w:gridSpan w:val="2"/>
            <w:tcBorders>
              <w:top w:val="nil"/>
              <w:left w:val="nil"/>
              <w:bottom w:val="nil"/>
              <w:right w:val="nil"/>
            </w:tcBorders>
            <w:shd w:val="clear" w:color="auto" w:fill="FFFFFF"/>
            <w:vAlign w:val="bottom"/>
          </w:tcPr>
          <w:p w14:paraId="607D293E" w14:textId="77777777" w:rsidR="00A031A6" w:rsidRDefault="00916FD0">
            <w:pPr>
              <w:jc w:val="right"/>
              <w:rPr>
                <w:color w:val="000000"/>
                <w:sz w:val="14"/>
                <w:szCs w:val="14"/>
              </w:rPr>
            </w:pPr>
            <w:r>
              <w:rPr>
                <w:color w:val="000000"/>
                <w:sz w:val="14"/>
                <w:szCs w:val="14"/>
              </w:rPr>
              <w:t>219,244</w:t>
            </w:r>
          </w:p>
        </w:tc>
        <w:tc>
          <w:tcPr>
            <w:tcW w:w="995" w:type="dxa"/>
            <w:tcBorders>
              <w:top w:val="nil"/>
              <w:left w:val="nil"/>
              <w:bottom w:val="nil"/>
              <w:right w:val="nil"/>
            </w:tcBorders>
            <w:shd w:val="clear" w:color="auto" w:fill="FFFFFF"/>
            <w:vAlign w:val="bottom"/>
          </w:tcPr>
          <w:p w14:paraId="3CA42948" w14:textId="77777777" w:rsidR="00A031A6" w:rsidRDefault="00916FD0">
            <w:pPr>
              <w:jc w:val="right"/>
              <w:rPr>
                <w:color w:val="000000"/>
                <w:sz w:val="14"/>
                <w:szCs w:val="14"/>
              </w:rPr>
            </w:pPr>
            <w:r>
              <w:rPr>
                <w:color w:val="000000"/>
                <w:sz w:val="14"/>
                <w:szCs w:val="14"/>
              </w:rPr>
              <w:t>11,244,082</w:t>
            </w:r>
          </w:p>
        </w:tc>
        <w:tc>
          <w:tcPr>
            <w:tcW w:w="986" w:type="dxa"/>
            <w:gridSpan w:val="2"/>
            <w:tcBorders>
              <w:top w:val="nil"/>
              <w:left w:val="nil"/>
              <w:bottom w:val="nil"/>
              <w:right w:val="nil"/>
            </w:tcBorders>
            <w:shd w:val="clear" w:color="auto" w:fill="FFFFFF"/>
            <w:vAlign w:val="bottom"/>
          </w:tcPr>
          <w:p w14:paraId="00D08F5E" w14:textId="77777777" w:rsidR="00A031A6" w:rsidRDefault="00916FD0">
            <w:pPr>
              <w:jc w:val="right"/>
              <w:rPr>
                <w:color w:val="000000"/>
                <w:sz w:val="14"/>
                <w:szCs w:val="14"/>
              </w:rPr>
            </w:pPr>
            <w:r>
              <w:rPr>
                <w:color w:val="000000"/>
                <w:sz w:val="14"/>
                <w:szCs w:val="14"/>
              </w:rPr>
              <w:t>69%</w:t>
            </w:r>
          </w:p>
        </w:tc>
        <w:tc>
          <w:tcPr>
            <w:tcW w:w="1214" w:type="dxa"/>
            <w:gridSpan w:val="2"/>
            <w:tcBorders>
              <w:top w:val="nil"/>
              <w:left w:val="nil"/>
              <w:bottom w:val="nil"/>
              <w:right w:val="nil"/>
            </w:tcBorders>
            <w:shd w:val="clear" w:color="auto" w:fill="FFFFFF"/>
            <w:vAlign w:val="bottom"/>
          </w:tcPr>
          <w:p w14:paraId="5C18C551" w14:textId="77777777" w:rsidR="00A031A6" w:rsidRDefault="00916FD0">
            <w:pPr>
              <w:jc w:val="right"/>
              <w:rPr>
                <w:color w:val="000000"/>
                <w:sz w:val="14"/>
                <w:szCs w:val="14"/>
              </w:rPr>
            </w:pPr>
            <w:r>
              <w:rPr>
                <w:color w:val="000000"/>
                <w:sz w:val="14"/>
                <w:szCs w:val="14"/>
              </w:rPr>
              <w:t>5,147,809</w:t>
            </w:r>
          </w:p>
        </w:tc>
        <w:tc>
          <w:tcPr>
            <w:tcW w:w="1216" w:type="dxa"/>
            <w:gridSpan w:val="2"/>
            <w:tcBorders>
              <w:top w:val="nil"/>
              <w:left w:val="nil"/>
              <w:bottom w:val="nil"/>
              <w:right w:val="nil"/>
            </w:tcBorders>
            <w:shd w:val="clear" w:color="auto" w:fill="FFFFFF"/>
            <w:vAlign w:val="bottom"/>
          </w:tcPr>
          <w:p w14:paraId="3D5688CC" w14:textId="77777777" w:rsidR="00A031A6" w:rsidRDefault="00916FD0">
            <w:pPr>
              <w:jc w:val="right"/>
              <w:rPr>
                <w:color w:val="000000"/>
                <w:sz w:val="14"/>
                <w:szCs w:val="14"/>
              </w:rPr>
            </w:pPr>
            <w:r>
              <w:rPr>
                <w:color w:val="000000"/>
                <w:sz w:val="14"/>
                <w:szCs w:val="14"/>
              </w:rPr>
              <w:t>31%</w:t>
            </w:r>
          </w:p>
        </w:tc>
        <w:tc>
          <w:tcPr>
            <w:tcW w:w="988" w:type="dxa"/>
            <w:gridSpan w:val="2"/>
            <w:tcBorders>
              <w:top w:val="nil"/>
              <w:left w:val="nil"/>
              <w:bottom w:val="nil"/>
              <w:right w:val="nil"/>
            </w:tcBorders>
            <w:shd w:val="clear" w:color="auto" w:fill="FFFFFF"/>
            <w:vAlign w:val="bottom"/>
          </w:tcPr>
          <w:p w14:paraId="3BCACD48" w14:textId="77777777" w:rsidR="00A031A6" w:rsidRDefault="00916FD0">
            <w:pPr>
              <w:jc w:val="right"/>
              <w:rPr>
                <w:color w:val="000000"/>
                <w:sz w:val="14"/>
                <w:szCs w:val="14"/>
              </w:rPr>
            </w:pPr>
            <w:r>
              <w:rPr>
                <w:color w:val="000000"/>
                <w:sz w:val="14"/>
                <w:szCs w:val="14"/>
              </w:rPr>
              <w:t>23%</w:t>
            </w:r>
          </w:p>
        </w:tc>
        <w:tc>
          <w:tcPr>
            <w:tcW w:w="1426" w:type="dxa"/>
            <w:gridSpan w:val="2"/>
            <w:tcBorders>
              <w:top w:val="nil"/>
              <w:left w:val="nil"/>
              <w:bottom w:val="nil"/>
              <w:right w:val="nil"/>
            </w:tcBorders>
            <w:shd w:val="clear" w:color="auto" w:fill="FFFFFF"/>
            <w:vAlign w:val="bottom"/>
          </w:tcPr>
          <w:p w14:paraId="6E320E75" w14:textId="77777777" w:rsidR="00A031A6" w:rsidRDefault="00916FD0">
            <w:pPr>
              <w:jc w:val="right"/>
              <w:rPr>
                <w:color w:val="000000"/>
                <w:sz w:val="14"/>
                <w:szCs w:val="14"/>
              </w:rPr>
            </w:pPr>
            <w:r>
              <w:rPr>
                <w:color w:val="000000"/>
                <w:sz w:val="14"/>
                <w:szCs w:val="14"/>
              </w:rPr>
              <w:t>16,391,891</w:t>
            </w:r>
          </w:p>
        </w:tc>
        <w:tc>
          <w:tcPr>
            <w:tcW w:w="1070" w:type="dxa"/>
            <w:tcBorders>
              <w:top w:val="nil"/>
              <w:left w:val="nil"/>
              <w:bottom w:val="nil"/>
              <w:right w:val="nil"/>
            </w:tcBorders>
            <w:shd w:val="clear" w:color="auto" w:fill="FFFFFF"/>
            <w:vAlign w:val="bottom"/>
          </w:tcPr>
          <w:p w14:paraId="11618D67" w14:textId="77777777" w:rsidR="00A031A6" w:rsidRDefault="00916FD0">
            <w:pPr>
              <w:jc w:val="right"/>
              <w:rPr>
                <w:color w:val="000000"/>
                <w:sz w:val="14"/>
                <w:szCs w:val="14"/>
              </w:rPr>
            </w:pPr>
            <w:r>
              <w:rPr>
                <w:color w:val="000000"/>
                <w:sz w:val="14"/>
                <w:szCs w:val="14"/>
              </w:rPr>
              <w:t>0%</w:t>
            </w:r>
          </w:p>
        </w:tc>
      </w:tr>
      <w:tr w:rsidR="00A031A6" w14:paraId="6FEBFFF4" w14:textId="77777777">
        <w:trPr>
          <w:trHeight w:val="57"/>
        </w:trPr>
        <w:tc>
          <w:tcPr>
            <w:tcW w:w="1560" w:type="dxa"/>
            <w:gridSpan w:val="2"/>
            <w:tcBorders>
              <w:top w:val="nil"/>
              <w:left w:val="nil"/>
              <w:bottom w:val="nil"/>
              <w:right w:val="nil"/>
            </w:tcBorders>
            <w:shd w:val="clear" w:color="auto" w:fill="FFFFFF"/>
            <w:vAlign w:val="bottom"/>
          </w:tcPr>
          <w:p w14:paraId="7E273D3E" w14:textId="77777777"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14:paraId="42655E4C" w14:textId="77777777" w:rsidR="00A031A6" w:rsidRDefault="00916FD0">
            <w:pPr>
              <w:jc w:val="right"/>
              <w:rPr>
                <w:color w:val="000000"/>
                <w:sz w:val="14"/>
                <w:szCs w:val="14"/>
              </w:rPr>
            </w:pPr>
            <w:r>
              <w:rPr>
                <w:color w:val="000000"/>
                <w:sz w:val="14"/>
                <w:szCs w:val="14"/>
              </w:rPr>
              <w:t>17,871,422</w:t>
            </w:r>
          </w:p>
        </w:tc>
        <w:tc>
          <w:tcPr>
            <w:tcW w:w="1043" w:type="dxa"/>
            <w:gridSpan w:val="2"/>
            <w:tcBorders>
              <w:top w:val="nil"/>
              <w:left w:val="nil"/>
              <w:bottom w:val="nil"/>
              <w:right w:val="nil"/>
            </w:tcBorders>
            <w:shd w:val="clear" w:color="auto" w:fill="FFFFFF"/>
            <w:vAlign w:val="bottom"/>
          </w:tcPr>
          <w:p w14:paraId="45DF5D4E" w14:textId="77777777" w:rsidR="00A031A6" w:rsidRDefault="00916FD0">
            <w:pPr>
              <w:jc w:val="right"/>
              <w:rPr>
                <w:color w:val="000000"/>
                <w:sz w:val="14"/>
                <w:szCs w:val="14"/>
              </w:rPr>
            </w:pPr>
            <w:r>
              <w:rPr>
                <w:color w:val="000000"/>
                <w:sz w:val="14"/>
                <w:szCs w:val="14"/>
              </w:rPr>
              <w:t>16,391,891</w:t>
            </w:r>
          </w:p>
        </w:tc>
        <w:tc>
          <w:tcPr>
            <w:tcW w:w="967" w:type="dxa"/>
            <w:gridSpan w:val="2"/>
            <w:tcBorders>
              <w:top w:val="nil"/>
              <w:left w:val="nil"/>
              <w:bottom w:val="nil"/>
              <w:right w:val="nil"/>
            </w:tcBorders>
            <w:shd w:val="clear" w:color="auto" w:fill="FFFFFF"/>
            <w:vAlign w:val="bottom"/>
          </w:tcPr>
          <w:p w14:paraId="250B4F0E" w14:textId="77777777" w:rsidR="00A031A6" w:rsidRDefault="00916FD0">
            <w:pPr>
              <w:jc w:val="right"/>
              <w:rPr>
                <w:color w:val="000000"/>
                <w:sz w:val="14"/>
                <w:szCs w:val="14"/>
              </w:rPr>
            </w:pPr>
            <w:r>
              <w:rPr>
                <w:color w:val="000000"/>
                <w:sz w:val="14"/>
                <w:szCs w:val="14"/>
              </w:rPr>
              <w:t>2,845,522</w:t>
            </w:r>
          </w:p>
        </w:tc>
        <w:tc>
          <w:tcPr>
            <w:tcW w:w="1510" w:type="dxa"/>
            <w:gridSpan w:val="2"/>
            <w:tcBorders>
              <w:top w:val="nil"/>
              <w:left w:val="nil"/>
              <w:bottom w:val="nil"/>
              <w:right w:val="nil"/>
            </w:tcBorders>
            <w:shd w:val="clear" w:color="auto" w:fill="FFFFFF"/>
            <w:vAlign w:val="bottom"/>
          </w:tcPr>
          <w:p w14:paraId="3DE49E22" w14:textId="77777777" w:rsidR="00A031A6" w:rsidRDefault="00916FD0">
            <w:pPr>
              <w:jc w:val="right"/>
              <w:rPr>
                <w:color w:val="000000"/>
                <w:sz w:val="14"/>
                <w:szCs w:val="14"/>
              </w:rPr>
            </w:pPr>
            <w:r>
              <w:rPr>
                <w:color w:val="000000"/>
                <w:sz w:val="14"/>
                <w:szCs w:val="14"/>
              </w:rPr>
              <w:t>937,007</w:t>
            </w:r>
          </w:p>
        </w:tc>
        <w:tc>
          <w:tcPr>
            <w:tcW w:w="1254" w:type="dxa"/>
            <w:gridSpan w:val="2"/>
            <w:tcBorders>
              <w:top w:val="nil"/>
              <w:left w:val="nil"/>
              <w:bottom w:val="nil"/>
              <w:right w:val="nil"/>
            </w:tcBorders>
            <w:shd w:val="clear" w:color="auto" w:fill="FFFFFF"/>
            <w:vAlign w:val="bottom"/>
          </w:tcPr>
          <w:p w14:paraId="06935439" w14:textId="77777777" w:rsidR="00A031A6" w:rsidRDefault="00916FD0">
            <w:pPr>
              <w:jc w:val="right"/>
              <w:rPr>
                <w:color w:val="000000"/>
                <w:sz w:val="14"/>
                <w:szCs w:val="14"/>
              </w:rPr>
            </w:pPr>
            <w:r>
              <w:rPr>
                <w:color w:val="000000"/>
                <w:sz w:val="14"/>
                <w:szCs w:val="14"/>
              </w:rPr>
              <w:t>428,984</w:t>
            </w:r>
          </w:p>
        </w:tc>
        <w:tc>
          <w:tcPr>
            <w:tcW w:w="995" w:type="dxa"/>
            <w:tcBorders>
              <w:top w:val="nil"/>
              <w:left w:val="nil"/>
              <w:bottom w:val="nil"/>
              <w:right w:val="nil"/>
            </w:tcBorders>
            <w:shd w:val="clear" w:color="auto" w:fill="FFFFFF"/>
            <w:vAlign w:val="bottom"/>
          </w:tcPr>
          <w:p w14:paraId="5D12C853" w14:textId="77777777" w:rsidR="00A031A6" w:rsidRDefault="00916FD0">
            <w:pPr>
              <w:jc w:val="right"/>
              <w:rPr>
                <w:color w:val="000000"/>
                <w:sz w:val="14"/>
                <w:szCs w:val="14"/>
              </w:rPr>
            </w:pPr>
            <w:r>
              <w:rPr>
                <w:color w:val="000000"/>
                <w:sz w:val="14"/>
                <w:szCs w:val="14"/>
              </w:rPr>
              <w:t>10,307,075</w:t>
            </w:r>
          </w:p>
        </w:tc>
        <w:tc>
          <w:tcPr>
            <w:tcW w:w="986" w:type="dxa"/>
            <w:gridSpan w:val="2"/>
            <w:tcBorders>
              <w:top w:val="nil"/>
              <w:left w:val="nil"/>
              <w:bottom w:val="nil"/>
              <w:right w:val="nil"/>
            </w:tcBorders>
            <w:shd w:val="clear" w:color="auto" w:fill="FFFFFF"/>
            <w:vAlign w:val="bottom"/>
          </w:tcPr>
          <w:p w14:paraId="349C0C24" w14:textId="77777777" w:rsidR="00A031A6" w:rsidRDefault="00916FD0">
            <w:pPr>
              <w:jc w:val="right"/>
              <w:rPr>
                <w:color w:val="000000"/>
                <w:sz w:val="14"/>
                <w:szCs w:val="14"/>
              </w:rPr>
            </w:pPr>
            <w:r>
              <w:rPr>
                <w:color w:val="000000"/>
                <w:sz w:val="14"/>
                <w:szCs w:val="14"/>
              </w:rPr>
              <w:t>58%</w:t>
            </w:r>
          </w:p>
        </w:tc>
        <w:tc>
          <w:tcPr>
            <w:tcW w:w="1214" w:type="dxa"/>
            <w:gridSpan w:val="2"/>
            <w:tcBorders>
              <w:top w:val="nil"/>
              <w:left w:val="nil"/>
              <w:bottom w:val="nil"/>
              <w:right w:val="nil"/>
            </w:tcBorders>
            <w:shd w:val="clear" w:color="auto" w:fill="FFFFFF"/>
            <w:vAlign w:val="bottom"/>
          </w:tcPr>
          <w:p w14:paraId="618AA1CF" w14:textId="77777777" w:rsidR="00A031A6" w:rsidRDefault="00916FD0">
            <w:pPr>
              <w:jc w:val="right"/>
              <w:rPr>
                <w:color w:val="000000"/>
                <w:sz w:val="14"/>
                <w:szCs w:val="14"/>
              </w:rPr>
            </w:pPr>
            <w:r>
              <w:rPr>
                <w:color w:val="000000"/>
                <w:sz w:val="14"/>
                <w:szCs w:val="14"/>
              </w:rPr>
              <w:t>7,564,347</w:t>
            </w:r>
          </w:p>
        </w:tc>
        <w:tc>
          <w:tcPr>
            <w:tcW w:w="1216" w:type="dxa"/>
            <w:gridSpan w:val="2"/>
            <w:tcBorders>
              <w:top w:val="nil"/>
              <w:left w:val="nil"/>
              <w:bottom w:val="nil"/>
              <w:right w:val="nil"/>
            </w:tcBorders>
            <w:shd w:val="clear" w:color="auto" w:fill="FFFFFF"/>
            <w:vAlign w:val="bottom"/>
          </w:tcPr>
          <w:p w14:paraId="1E6E6F26" w14:textId="77777777" w:rsidR="00A031A6" w:rsidRDefault="00916FD0">
            <w:pPr>
              <w:jc w:val="right"/>
              <w:rPr>
                <w:color w:val="000000"/>
                <w:sz w:val="14"/>
                <w:szCs w:val="14"/>
              </w:rPr>
            </w:pPr>
            <w:r>
              <w:rPr>
                <w:color w:val="000000"/>
                <w:sz w:val="14"/>
                <w:szCs w:val="14"/>
              </w:rPr>
              <w:t>42%</w:t>
            </w:r>
          </w:p>
        </w:tc>
        <w:tc>
          <w:tcPr>
            <w:tcW w:w="988" w:type="dxa"/>
            <w:gridSpan w:val="2"/>
            <w:tcBorders>
              <w:top w:val="nil"/>
              <w:left w:val="nil"/>
              <w:bottom w:val="nil"/>
              <w:right w:val="nil"/>
            </w:tcBorders>
            <w:shd w:val="clear" w:color="auto" w:fill="FFFFFF"/>
            <w:vAlign w:val="bottom"/>
          </w:tcPr>
          <w:p w14:paraId="0DAABC54" w14:textId="77777777" w:rsidR="00A031A6" w:rsidRDefault="00916FD0">
            <w:pPr>
              <w:jc w:val="right"/>
              <w:rPr>
                <w:color w:val="000000"/>
                <w:sz w:val="14"/>
                <w:szCs w:val="14"/>
              </w:rPr>
            </w:pPr>
            <w:r>
              <w:rPr>
                <w:color w:val="000000"/>
                <w:sz w:val="14"/>
                <w:szCs w:val="14"/>
              </w:rPr>
              <w:t>25%</w:t>
            </w:r>
          </w:p>
        </w:tc>
        <w:tc>
          <w:tcPr>
            <w:tcW w:w="1426" w:type="dxa"/>
            <w:gridSpan w:val="2"/>
            <w:tcBorders>
              <w:top w:val="nil"/>
              <w:left w:val="nil"/>
              <w:bottom w:val="nil"/>
              <w:right w:val="nil"/>
            </w:tcBorders>
            <w:shd w:val="clear" w:color="auto" w:fill="FFFFFF"/>
            <w:vAlign w:val="bottom"/>
          </w:tcPr>
          <w:p w14:paraId="6A07ACD8" w14:textId="77777777" w:rsidR="00A031A6" w:rsidRDefault="00916FD0">
            <w:pPr>
              <w:jc w:val="right"/>
              <w:rPr>
                <w:color w:val="000000"/>
                <w:sz w:val="14"/>
                <w:szCs w:val="14"/>
              </w:rPr>
            </w:pPr>
            <w:r>
              <w:rPr>
                <w:color w:val="000000"/>
                <w:sz w:val="14"/>
                <w:szCs w:val="14"/>
              </w:rPr>
              <w:t>17,871,422</w:t>
            </w:r>
          </w:p>
        </w:tc>
        <w:tc>
          <w:tcPr>
            <w:tcW w:w="1070" w:type="dxa"/>
            <w:tcBorders>
              <w:top w:val="nil"/>
              <w:left w:val="nil"/>
              <w:bottom w:val="nil"/>
              <w:right w:val="nil"/>
            </w:tcBorders>
            <w:shd w:val="clear" w:color="auto" w:fill="FFFFFF"/>
            <w:vAlign w:val="bottom"/>
          </w:tcPr>
          <w:p w14:paraId="437EBB80" w14:textId="77777777" w:rsidR="00A031A6" w:rsidRDefault="00916FD0">
            <w:pPr>
              <w:jc w:val="right"/>
              <w:rPr>
                <w:color w:val="000000"/>
                <w:sz w:val="14"/>
                <w:szCs w:val="14"/>
              </w:rPr>
            </w:pPr>
            <w:r>
              <w:rPr>
                <w:color w:val="000000"/>
                <w:sz w:val="14"/>
                <w:szCs w:val="14"/>
              </w:rPr>
              <w:t>0%</w:t>
            </w:r>
          </w:p>
        </w:tc>
      </w:tr>
      <w:tr w:rsidR="00A031A6" w14:paraId="53EEAF77" w14:textId="77777777">
        <w:trPr>
          <w:trHeight w:val="57"/>
        </w:trPr>
        <w:tc>
          <w:tcPr>
            <w:tcW w:w="1560" w:type="dxa"/>
            <w:gridSpan w:val="2"/>
            <w:tcBorders>
              <w:top w:val="nil"/>
              <w:left w:val="nil"/>
              <w:bottom w:val="nil"/>
              <w:right w:val="nil"/>
            </w:tcBorders>
            <w:shd w:val="clear" w:color="auto" w:fill="FFFFFF"/>
            <w:vAlign w:val="bottom"/>
          </w:tcPr>
          <w:p w14:paraId="4BC72768" w14:textId="77777777"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14:paraId="323F8CAF" w14:textId="77777777" w:rsidR="00A031A6" w:rsidRDefault="00916FD0">
            <w:pPr>
              <w:jc w:val="right"/>
              <w:rPr>
                <w:color w:val="000000"/>
                <w:sz w:val="14"/>
                <w:szCs w:val="14"/>
              </w:rPr>
            </w:pPr>
            <w:r>
              <w:rPr>
                <w:color w:val="000000"/>
                <w:sz w:val="14"/>
                <w:szCs w:val="14"/>
              </w:rPr>
              <w:t>19,341,432</w:t>
            </w:r>
          </w:p>
        </w:tc>
        <w:tc>
          <w:tcPr>
            <w:tcW w:w="1043" w:type="dxa"/>
            <w:gridSpan w:val="2"/>
            <w:tcBorders>
              <w:top w:val="nil"/>
              <w:left w:val="nil"/>
              <w:bottom w:val="nil"/>
              <w:right w:val="nil"/>
            </w:tcBorders>
            <w:shd w:val="clear" w:color="auto" w:fill="FFFFFF"/>
            <w:vAlign w:val="bottom"/>
          </w:tcPr>
          <w:p w14:paraId="4B04EF7D" w14:textId="77777777" w:rsidR="00A031A6" w:rsidRDefault="00916FD0">
            <w:pPr>
              <w:jc w:val="right"/>
              <w:rPr>
                <w:color w:val="000000"/>
                <w:sz w:val="14"/>
                <w:szCs w:val="14"/>
              </w:rPr>
            </w:pPr>
            <w:r>
              <w:rPr>
                <w:color w:val="000000"/>
                <w:sz w:val="14"/>
                <w:szCs w:val="14"/>
              </w:rPr>
              <w:t>17,871,422</w:t>
            </w:r>
          </w:p>
        </w:tc>
        <w:tc>
          <w:tcPr>
            <w:tcW w:w="967" w:type="dxa"/>
            <w:gridSpan w:val="2"/>
            <w:tcBorders>
              <w:top w:val="nil"/>
              <w:left w:val="nil"/>
              <w:bottom w:val="nil"/>
              <w:right w:val="nil"/>
            </w:tcBorders>
            <w:shd w:val="clear" w:color="auto" w:fill="FFFFFF"/>
            <w:vAlign w:val="bottom"/>
          </w:tcPr>
          <w:p w14:paraId="1764670E" w14:textId="77777777" w:rsidR="00A031A6" w:rsidRDefault="00916FD0">
            <w:pPr>
              <w:jc w:val="right"/>
              <w:rPr>
                <w:color w:val="000000"/>
                <w:sz w:val="14"/>
                <w:szCs w:val="14"/>
              </w:rPr>
            </w:pPr>
            <w:r>
              <w:rPr>
                <w:color w:val="000000"/>
                <w:sz w:val="14"/>
                <w:szCs w:val="14"/>
              </w:rPr>
              <w:t>2,959,296</w:t>
            </w:r>
          </w:p>
        </w:tc>
        <w:tc>
          <w:tcPr>
            <w:tcW w:w="1510" w:type="dxa"/>
            <w:gridSpan w:val="2"/>
            <w:tcBorders>
              <w:top w:val="nil"/>
              <w:left w:val="nil"/>
              <w:bottom w:val="nil"/>
              <w:right w:val="nil"/>
            </w:tcBorders>
            <w:shd w:val="clear" w:color="auto" w:fill="FFFFFF"/>
            <w:vAlign w:val="bottom"/>
          </w:tcPr>
          <w:p w14:paraId="01D232FF" w14:textId="77777777" w:rsidR="00A031A6" w:rsidRDefault="00916FD0">
            <w:pPr>
              <w:jc w:val="right"/>
              <w:rPr>
                <w:color w:val="000000"/>
                <w:sz w:val="14"/>
                <w:szCs w:val="14"/>
              </w:rPr>
            </w:pPr>
            <w:r>
              <w:rPr>
                <w:color w:val="000000"/>
                <w:sz w:val="14"/>
                <w:szCs w:val="14"/>
              </w:rPr>
              <w:t>858,923</w:t>
            </w:r>
          </w:p>
        </w:tc>
        <w:tc>
          <w:tcPr>
            <w:tcW w:w="1254" w:type="dxa"/>
            <w:gridSpan w:val="2"/>
            <w:tcBorders>
              <w:top w:val="nil"/>
              <w:left w:val="nil"/>
              <w:bottom w:val="nil"/>
              <w:right w:val="nil"/>
            </w:tcBorders>
            <w:shd w:val="clear" w:color="auto" w:fill="FFFFFF"/>
            <w:vAlign w:val="bottom"/>
          </w:tcPr>
          <w:p w14:paraId="77FB08DF" w14:textId="77777777" w:rsidR="00A031A6" w:rsidRDefault="00916FD0">
            <w:pPr>
              <w:jc w:val="right"/>
              <w:rPr>
                <w:color w:val="000000"/>
                <w:sz w:val="14"/>
                <w:szCs w:val="14"/>
              </w:rPr>
            </w:pPr>
            <w:r>
              <w:rPr>
                <w:color w:val="000000"/>
                <w:sz w:val="14"/>
                <w:szCs w:val="14"/>
              </w:rPr>
              <w:t>630,362</w:t>
            </w:r>
          </w:p>
        </w:tc>
        <w:tc>
          <w:tcPr>
            <w:tcW w:w="995" w:type="dxa"/>
            <w:tcBorders>
              <w:top w:val="nil"/>
              <w:left w:val="nil"/>
              <w:bottom w:val="nil"/>
              <w:right w:val="nil"/>
            </w:tcBorders>
            <w:shd w:val="clear" w:color="auto" w:fill="FFFFFF"/>
            <w:vAlign w:val="bottom"/>
          </w:tcPr>
          <w:p w14:paraId="7490419B" w14:textId="77777777" w:rsidR="00A031A6" w:rsidRDefault="00916FD0">
            <w:pPr>
              <w:jc w:val="right"/>
              <w:rPr>
                <w:color w:val="000000"/>
                <w:sz w:val="14"/>
                <w:szCs w:val="14"/>
              </w:rPr>
            </w:pPr>
            <w:r>
              <w:rPr>
                <w:color w:val="000000"/>
                <w:sz w:val="14"/>
                <w:szCs w:val="14"/>
              </w:rPr>
              <w:t>9,448,152</w:t>
            </w:r>
          </w:p>
        </w:tc>
        <w:tc>
          <w:tcPr>
            <w:tcW w:w="986" w:type="dxa"/>
            <w:gridSpan w:val="2"/>
            <w:tcBorders>
              <w:top w:val="nil"/>
              <w:left w:val="nil"/>
              <w:bottom w:val="nil"/>
              <w:right w:val="nil"/>
            </w:tcBorders>
            <w:shd w:val="clear" w:color="auto" w:fill="FFFFFF"/>
            <w:vAlign w:val="bottom"/>
          </w:tcPr>
          <w:p w14:paraId="5D31CC1F" w14:textId="77777777" w:rsidR="00A031A6" w:rsidRDefault="00916FD0">
            <w:pPr>
              <w:jc w:val="right"/>
              <w:rPr>
                <w:color w:val="000000"/>
                <w:sz w:val="14"/>
                <w:szCs w:val="14"/>
              </w:rPr>
            </w:pPr>
            <w:r>
              <w:rPr>
                <w:color w:val="000000"/>
                <w:sz w:val="14"/>
                <w:szCs w:val="14"/>
              </w:rPr>
              <w:t>49%</w:t>
            </w:r>
          </w:p>
        </w:tc>
        <w:tc>
          <w:tcPr>
            <w:tcW w:w="1214" w:type="dxa"/>
            <w:gridSpan w:val="2"/>
            <w:tcBorders>
              <w:top w:val="nil"/>
              <w:left w:val="nil"/>
              <w:bottom w:val="nil"/>
              <w:right w:val="nil"/>
            </w:tcBorders>
            <w:shd w:val="clear" w:color="auto" w:fill="FFFFFF"/>
            <w:vAlign w:val="bottom"/>
          </w:tcPr>
          <w:p w14:paraId="5A70A1FE" w14:textId="77777777" w:rsidR="00A031A6" w:rsidRDefault="00916FD0">
            <w:pPr>
              <w:jc w:val="right"/>
              <w:rPr>
                <w:color w:val="000000"/>
                <w:sz w:val="14"/>
                <w:szCs w:val="14"/>
              </w:rPr>
            </w:pPr>
            <w:r>
              <w:rPr>
                <w:color w:val="000000"/>
                <w:sz w:val="14"/>
                <w:szCs w:val="14"/>
              </w:rPr>
              <w:t>9,893,280</w:t>
            </w:r>
          </w:p>
        </w:tc>
        <w:tc>
          <w:tcPr>
            <w:tcW w:w="1216" w:type="dxa"/>
            <w:gridSpan w:val="2"/>
            <w:tcBorders>
              <w:top w:val="nil"/>
              <w:left w:val="nil"/>
              <w:bottom w:val="nil"/>
              <w:right w:val="nil"/>
            </w:tcBorders>
            <w:shd w:val="clear" w:color="auto" w:fill="FFFFFF"/>
            <w:vAlign w:val="bottom"/>
          </w:tcPr>
          <w:p w14:paraId="2E037A38" w14:textId="77777777" w:rsidR="00A031A6" w:rsidRDefault="00916FD0">
            <w:pPr>
              <w:jc w:val="right"/>
              <w:rPr>
                <w:color w:val="000000"/>
                <w:sz w:val="14"/>
                <w:szCs w:val="14"/>
              </w:rPr>
            </w:pPr>
            <w:r>
              <w:rPr>
                <w:color w:val="000000"/>
                <w:sz w:val="14"/>
                <w:szCs w:val="14"/>
              </w:rPr>
              <w:t>51%</w:t>
            </w:r>
          </w:p>
        </w:tc>
        <w:tc>
          <w:tcPr>
            <w:tcW w:w="988" w:type="dxa"/>
            <w:gridSpan w:val="2"/>
            <w:tcBorders>
              <w:top w:val="nil"/>
              <w:left w:val="nil"/>
              <w:bottom w:val="nil"/>
              <w:right w:val="nil"/>
            </w:tcBorders>
            <w:shd w:val="clear" w:color="auto" w:fill="FFFFFF"/>
            <w:vAlign w:val="bottom"/>
          </w:tcPr>
          <w:p w14:paraId="5674943A" w14:textId="77777777" w:rsidR="00A031A6" w:rsidRDefault="00916FD0">
            <w:pPr>
              <w:jc w:val="right"/>
              <w:rPr>
                <w:color w:val="000000"/>
                <w:sz w:val="14"/>
                <w:szCs w:val="14"/>
              </w:rPr>
            </w:pPr>
            <w:r>
              <w:rPr>
                <w:color w:val="000000"/>
                <w:sz w:val="14"/>
                <w:szCs w:val="14"/>
              </w:rPr>
              <w:t>27%</w:t>
            </w:r>
          </w:p>
        </w:tc>
        <w:tc>
          <w:tcPr>
            <w:tcW w:w="1426" w:type="dxa"/>
            <w:gridSpan w:val="2"/>
            <w:tcBorders>
              <w:top w:val="nil"/>
              <w:left w:val="nil"/>
              <w:bottom w:val="nil"/>
              <w:right w:val="nil"/>
            </w:tcBorders>
            <w:shd w:val="clear" w:color="auto" w:fill="FFFFFF"/>
            <w:vAlign w:val="bottom"/>
          </w:tcPr>
          <w:p w14:paraId="516765C3" w14:textId="77777777" w:rsidR="00A031A6" w:rsidRDefault="00916FD0">
            <w:pPr>
              <w:jc w:val="right"/>
              <w:rPr>
                <w:color w:val="000000"/>
                <w:sz w:val="14"/>
                <w:szCs w:val="14"/>
              </w:rPr>
            </w:pPr>
            <w:r>
              <w:rPr>
                <w:color w:val="000000"/>
                <w:sz w:val="14"/>
                <w:szCs w:val="14"/>
              </w:rPr>
              <w:t>19,341,432</w:t>
            </w:r>
          </w:p>
        </w:tc>
        <w:tc>
          <w:tcPr>
            <w:tcW w:w="1070" w:type="dxa"/>
            <w:tcBorders>
              <w:top w:val="nil"/>
              <w:left w:val="nil"/>
              <w:bottom w:val="nil"/>
              <w:right w:val="nil"/>
            </w:tcBorders>
            <w:shd w:val="clear" w:color="auto" w:fill="FFFFFF"/>
            <w:vAlign w:val="bottom"/>
          </w:tcPr>
          <w:p w14:paraId="06B7CAE0" w14:textId="77777777" w:rsidR="00A031A6" w:rsidRDefault="00916FD0">
            <w:pPr>
              <w:jc w:val="right"/>
              <w:rPr>
                <w:color w:val="000000"/>
                <w:sz w:val="14"/>
                <w:szCs w:val="14"/>
              </w:rPr>
            </w:pPr>
            <w:r>
              <w:rPr>
                <w:color w:val="000000"/>
                <w:sz w:val="14"/>
                <w:szCs w:val="14"/>
              </w:rPr>
              <w:t>0%</w:t>
            </w:r>
          </w:p>
        </w:tc>
      </w:tr>
      <w:tr w:rsidR="00A031A6" w14:paraId="6DAF5923" w14:textId="77777777">
        <w:trPr>
          <w:trHeight w:val="57"/>
        </w:trPr>
        <w:tc>
          <w:tcPr>
            <w:tcW w:w="1560" w:type="dxa"/>
            <w:gridSpan w:val="2"/>
            <w:tcBorders>
              <w:top w:val="nil"/>
              <w:left w:val="nil"/>
              <w:bottom w:val="nil"/>
              <w:right w:val="nil"/>
            </w:tcBorders>
            <w:shd w:val="clear" w:color="auto" w:fill="FFFFFF"/>
            <w:vAlign w:val="bottom"/>
          </w:tcPr>
          <w:p w14:paraId="06CE5C00" w14:textId="77777777"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14:paraId="35AC1177" w14:textId="77777777" w:rsidR="00A031A6" w:rsidRDefault="00916FD0">
            <w:pPr>
              <w:jc w:val="right"/>
              <w:rPr>
                <w:color w:val="000000"/>
                <w:sz w:val="14"/>
                <w:szCs w:val="14"/>
              </w:rPr>
            </w:pPr>
            <w:r>
              <w:rPr>
                <w:color w:val="000000"/>
                <w:sz w:val="14"/>
                <w:szCs w:val="14"/>
              </w:rPr>
              <w:t>20,807,264</w:t>
            </w:r>
          </w:p>
        </w:tc>
        <w:tc>
          <w:tcPr>
            <w:tcW w:w="1043" w:type="dxa"/>
            <w:gridSpan w:val="2"/>
            <w:tcBorders>
              <w:top w:val="nil"/>
              <w:left w:val="nil"/>
              <w:bottom w:val="nil"/>
              <w:right w:val="nil"/>
            </w:tcBorders>
            <w:shd w:val="clear" w:color="auto" w:fill="FFFFFF"/>
            <w:vAlign w:val="bottom"/>
          </w:tcPr>
          <w:p w14:paraId="2526D52E" w14:textId="77777777" w:rsidR="00A031A6" w:rsidRDefault="00916FD0">
            <w:pPr>
              <w:jc w:val="right"/>
              <w:rPr>
                <w:color w:val="000000"/>
                <w:sz w:val="14"/>
                <w:szCs w:val="14"/>
              </w:rPr>
            </w:pPr>
            <w:r>
              <w:rPr>
                <w:color w:val="000000"/>
                <w:sz w:val="14"/>
                <w:szCs w:val="14"/>
              </w:rPr>
              <w:t>19,341,432</w:t>
            </w:r>
          </w:p>
        </w:tc>
        <w:tc>
          <w:tcPr>
            <w:tcW w:w="967" w:type="dxa"/>
            <w:gridSpan w:val="2"/>
            <w:tcBorders>
              <w:top w:val="nil"/>
              <w:left w:val="nil"/>
              <w:bottom w:val="nil"/>
              <w:right w:val="nil"/>
            </w:tcBorders>
            <w:shd w:val="clear" w:color="auto" w:fill="FFFFFF"/>
            <w:vAlign w:val="bottom"/>
          </w:tcPr>
          <w:p w14:paraId="5DCCFC1B" w14:textId="77777777" w:rsidR="00A031A6" w:rsidRDefault="00916FD0">
            <w:pPr>
              <w:jc w:val="right"/>
              <w:rPr>
                <w:color w:val="000000"/>
                <w:sz w:val="14"/>
                <w:szCs w:val="14"/>
              </w:rPr>
            </w:pPr>
            <w:r>
              <w:rPr>
                <w:color w:val="000000"/>
                <w:sz w:val="14"/>
                <w:szCs w:val="14"/>
              </w:rPr>
              <w:t>3,077,618</w:t>
            </w:r>
          </w:p>
        </w:tc>
        <w:tc>
          <w:tcPr>
            <w:tcW w:w="1510" w:type="dxa"/>
            <w:gridSpan w:val="2"/>
            <w:tcBorders>
              <w:top w:val="nil"/>
              <w:left w:val="nil"/>
              <w:bottom w:val="nil"/>
              <w:right w:val="nil"/>
            </w:tcBorders>
            <w:shd w:val="clear" w:color="auto" w:fill="FFFFFF"/>
            <w:vAlign w:val="bottom"/>
          </w:tcPr>
          <w:p w14:paraId="1BF09311" w14:textId="77777777" w:rsidR="00A031A6" w:rsidRDefault="00916FD0">
            <w:pPr>
              <w:jc w:val="right"/>
              <w:rPr>
                <w:color w:val="000000"/>
                <w:sz w:val="14"/>
                <w:szCs w:val="14"/>
              </w:rPr>
            </w:pPr>
            <w:r>
              <w:rPr>
                <w:color w:val="000000"/>
                <w:sz w:val="14"/>
                <w:szCs w:val="14"/>
              </w:rPr>
              <w:t>787,346</w:t>
            </w:r>
          </w:p>
        </w:tc>
        <w:tc>
          <w:tcPr>
            <w:tcW w:w="1254" w:type="dxa"/>
            <w:gridSpan w:val="2"/>
            <w:tcBorders>
              <w:top w:val="nil"/>
              <w:left w:val="nil"/>
              <w:bottom w:val="nil"/>
              <w:right w:val="nil"/>
            </w:tcBorders>
            <w:shd w:val="clear" w:color="auto" w:fill="FFFFFF"/>
            <w:vAlign w:val="bottom"/>
          </w:tcPr>
          <w:p w14:paraId="7746C54B" w14:textId="77777777" w:rsidR="00A031A6" w:rsidRDefault="00916FD0">
            <w:pPr>
              <w:jc w:val="right"/>
              <w:rPr>
                <w:color w:val="000000"/>
                <w:sz w:val="14"/>
                <w:szCs w:val="14"/>
              </w:rPr>
            </w:pPr>
            <w:r>
              <w:rPr>
                <w:color w:val="000000"/>
                <w:sz w:val="14"/>
                <w:szCs w:val="14"/>
              </w:rPr>
              <w:t>824,440</w:t>
            </w:r>
          </w:p>
        </w:tc>
        <w:tc>
          <w:tcPr>
            <w:tcW w:w="995" w:type="dxa"/>
            <w:tcBorders>
              <w:top w:val="nil"/>
              <w:left w:val="nil"/>
              <w:bottom w:val="nil"/>
              <w:right w:val="nil"/>
            </w:tcBorders>
            <w:shd w:val="clear" w:color="auto" w:fill="FFFFFF"/>
            <w:vAlign w:val="bottom"/>
          </w:tcPr>
          <w:p w14:paraId="710BD171" w14:textId="77777777" w:rsidR="00A031A6" w:rsidRDefault="00916FD0">
            <w:pPr>
              <w:jc w:val="right"/>
              <w:rPr>
                <w:color w:val="000000"/>
                <w:sz w:val="14"/>
                <w:szCs w:val="14"/>
              </w:rPr>
            </w:pPr>
            <w:r>
              <w:rPr>
                <w:color w:val="000000"/>
                <w:sz w:val="14"/>
                <w:szCs w:val="14"/>
              </w:rPr>
              <w:t>8,660,806</w:t>
            </w:r>
          </w:p>
        </w:tc>
        <w:tc>
          <w:tcPr>
            <w:tcW w:w="986" w:type="dxa"/>
            <w:gridSpan w:val="2"/>
            <w:tcBorders>
              <w:top w:val="nil"/>
              <w:left w:val="nil"/>
              <w:bottom w:val="nil"/>
              <w:right w:val="nil"/>
            </w:tcBorders>
            <w:shd w:val="clear" w:color="auto" w:fill="FFFFFF"/>
            <w:vAlign w:val="bottom"/>
          </w:tcPr>
          <w:p w14:paraId="6D6EDE59" w14:textId="77777777" w:rsidR="00A031A6" w:rsidRDefault="00916FD0">
            <w:pPr>
              <w:jc w:val="right"/>
              <w:rPr>
                <w:color w:val="000000"/>
                <w:sz w:val="14"/>
                <w:szCs w:val="14"/>
              </w:rPr>
            </w:pPr>
            <w:r>
              <w:rPr>
                <w:color w:val="000000"/>
                <w:sz w:val="14"/>
                <w:szCs w:val="14"/>
              </w:rPr>
              <w:t>42%</w:t>
            </w:r>
          </w:p>
        </w:tc>
        <w:tc>
          <w:tcPr>
            <w:tcW w:w="1214" w:type="dxa"/>
            <w:gridSpan w:val="2"/>
            <w:tcBorders>
              <w:top w:val="nil"/>
              <w:left w:val="nil"/>
              <w:bottom w:val="nil"/>
              <w:right w:val="nil"/>
            </w:tcBorders>
            <w:shd w:val="clear" w:color="auto" w:fill="FFFFFF"/>
            <w:vAlign w:val="bottom"/>
          </w:tcPr>
          <w:p w14:paraId="5154F7BD" w14:textId="77777777" w:rsidR="00A031A6" w:rsidRDefault="00916FD0">
            <w:pPr>
              <w:jc w:val="right"/>
              <w:rPr>
                <w:color w:val="000000"/>
                <w:sz w:val="14"/>
                <w:szCs w:val="14"/>
              </w:rPr>
            </w:pPr>
            <w:r>
              <w:rPr>
                <w:color w:val="000000"/>
                <w:sz w:val="14"/>
                <w:szCs w:val="14"/>
              </w:rPr>
              <w:t>12,146,458</w:t>
            </w:r>
          </w:p>
        </w:tc>
        <w:tc>
          <w:tcPr>
            <w:tcW w:w="1216" w:type="dxa"/>
            <w:gridSpan w:val="2"/>
            <w:tcBorders>
              <w:top w:val="nil"/>
              <w:left w:val="nil"/>
              <w:bottom w:val="nil"/>
              <w:right w:val="nil"/>
            </w:tcBorders>
            <w:shd w:val="clear" w:color="auto" w:fill="FFFFFF"/>
            <w:vAlign w:val="bottom"/>
          </w:tcPr>
          <w:p w14:paraId="43B0EDCB" w14:textId="77777777" w:rsidR="00A031A6" w:rsidRDefault="00916FD0">
            <w:pPr>
              <w:jc w:val="right"/>
              <w:rPr>
                <w:color w:val="000000"/>
                <w:sz w:val="14"/>
                <w:szCs w:val="14"/>
              </w:rPr>
            </w:pPr>
            <w:r>
              <w:rPr>
                <w:color w:val="000000"/>
                <w:sz w:val="14"/>
                <w:szCs w:val="14"/>
              </w:rPr>
              <w:t>58%</w:t>
            </w:r>
          </w:p>
        </w:tc>
        <w:tc>
          <w:tcPr>
            <w:tcW w:w="988" w:type="dxa"/>
            <w:gridSpan w:val="2"/>
            <w:tcBorders>
              <w:top w:val="nil"/>
              <w:left w:val="nil"/>
              <w:bottom w:val="nil"/>
              <w:right w:val="nil"/>
            </w:tcBorders>
            <w:shd w:val="clear" w:color="auto" w:fill="FFFFFF"/>
            <w:vAlign w:val="bottom"/>
          </w:tcPr>
          <w:p w14:paraId="759F604E" w14:textId="77777777" w:rsidR="00A031A6" w:rsidRDefault="00916FD0">
            <w:pPr>
              <w:jc w:val="right"/>
              <w:rPr>
                <w:color w:val="000000"/>
                <w:sz w:val="14"/>
                <w:szCs w:val="14"/>
              </w:rPr>
            </w:pPr>
            <w:r>
              <w:rPr>
                <w:color w:val="000000"/>
                <w:sz w:val="14"/>
                <w:szCs w:val="14"/>
              </w:rPr>
              <w:t>28%</w:t>
            </w:r>
          </w:p>
        </w:tc>
        <w:tc>
          <w:tcPr>
            <w:tcW w:w="1426" w:type="dxa"/>
            <w:gridSpan w:val="2"/>
            <w:tcBorders>
              <w:top w:val="nil"/>
              <w:left w:val="nil"/>
              <w:bottom w:val="nil"/>
              <w:right w:val="nil"/>
            </w:tcBorders>
            <w:shd w:val="clear" w:color="auto" w:fill="FFFFFF"/>
            <w:vAlign w:val="bottom"/>
          </w:tcPr>
          <w:p w14:paraId="7E3E8F30" w14:textId="77777777" w:rsidR="00A031A6" w:rsidRDefault="00916FD0">
            <w:pPr>
              <w:jc w:val="right"/>
              <w:rPr>
                <w:color w:val="000000"/>
                <w:sz w:val="14"/>
                <w:szCs w:val="14"/>
              </w:rPr>
            </w:pPr>
            <w:r>
              <w:rPr>
                <w:color w:val="000000"/>
                <w:sz w:val="14"/>
                <w:szCs w:val="14"/>
              </w:rPr>
              <w:t>20,807,264</w:t>
            </w:r>
          </w:p>
        </w:tc>
        <w:tc>
          <w:tcPr>
            <w:tcW w:w="1070" w:type="dxa"/>
            <w:tcBorders>
              <w:top w:val="nil"/>
              <w:left w:val="nil"/>
              <w:bottom w:val="nil"/>
              <w:right w:val="nil"/>
            </w:tcBorders>
            <w:shd w:val="clear" w:color="auto" w:fill="FFFFFF"/>
            <w:vAlign w:val="bottom"/>
          </w:tcPr>
          <w:p w14:paraId="41081235" w14:textId="77777777" w:rsidR="00A031A6" w:rsidRDefault="00916FD0">
            <w:pPr>
              <w:jc w:val="right"/>
              <w:rPr>
                <w:color w:val="000000"/>
                <w:sz w:val="14"/>
                <w:szCs w:val="14"/>
              </w:rPr>
            </w:pPr>
            <w:r>
              <w:rPr>
                <w:color w:val="000000"/>
                <w:sz w:val="14"/>
                <w:szCs w:val="14"/>
              </w:rPr>
              <w:t>0%</w:t>
            </w:r>
          </w:p>
        </w:tc>
      </w:tr>
      <w:tr w:rsidR="00A031A6" w14:paraId="7491730A" w14:textId="77777777">
        <w:trPr>
          <w:trHeight w:val="57"/>
        </w:trPr>
        <w:tc>
          <w:tcPr>
            <w:tcW w:w="1560" w:type="dxa"/>
            <w:gridSpan w:val="2"/>
            <w:tcBorders>
              <w:top w:val="nil"/>
              <w:left w:val="nil"/>
              <w:bottom w:val="nil"/>
              <w:right w:val="nil"/>
            </w:tcBorders>
            <w:shd w:val="clear" w:color="auto" w:fill="FFFFFF"/>
            <w:vAlign w:val="bottom"/>
          </w:tcPr>
          <w:p w14:paraId="7AFB8467" w14:textId="77777777"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14:paraId="1E136AD1" w14:textId="77777777" w:rsidR="00A031A6" w:rsidRDefault="00916FD0">
            <w:pPr>
              <w:jc w:val="right"/>
              <w:rPr>
                <w:color w:val="000000"/>
                <w:sz w:val="14"/>
                <w:szCs w:val="14"/>
              </w:rPr>
            </w:pPr>
            <w:r>
              <w:rPr>
                <w:color w:val="000000"/>
                <w:sz w:val="14"/>
                <w:szCs w:val="14"/>
              </w:rPr>
              <w:t>22,273,997</w:t>
            </w:r>
          </w:p>
        </w:tc>
        <w:tc>
          <w:tcPr>
            <w:tcW w:w="1043" w:type="dxa"/>
            <w:gridSpan w:val="2"/>
            <w:tcBorders>
              <w:top w:val="nil"/>
              <w:left w:val="nil"/>
              <w:bottom w:val="nil"/>
              <w:right w:val="nil"/>
            </w:tcBorders>
            <w:shd w:val="clear" w:color="auto" w:fill="FFFFFF"/>
            <w:vAlign w:val="bottom"/>
          </w:tcPr>
          <w:p w14:paraId="69F59017" w14:textId="77777777" w:rsidR="00A031A6" w:rsidRDefault="00916FD0">
            <w:pPr>
              <w:jc w:val="right"/>
              <w:rPr>
                <w:color w:val="000000"/>
                <w:sz w:val="14"/>
                <w:szCs w:val="14"/>
              </w:rPr>
            </w:pPr>
            <w:r>
              <w:rPr>
                <w:color w:val="000000"/>
                <w:sz w:val="14"/>
                <w:szCs w:val="14"/>
              </w:rPr>
              <w:t>20,807,264</w:t>
            </w:r>
          </w:p>
        </w:tc>
        <w:tc>
          <w:tcPr>
            <w:tcW w:w="967" w:type="dxa"/>
            <w:gridSpan w:val="2"/>
            <w:tcBorders>
              <w:top w:val="nil"/>
              <w:left w:val="nil"/>
              <w:bottom w:val="nil"/>
              <w:right w:val="nil"/>
            </w:tcBorders>
            <w:shd w:val="clear" w:color="auto" w:fill="FFFFFF"/>
            <w:vAlign w:val="bottom"/>
          </w:tcPr>
          <w:p w14:paraId="0CA5BD17" w14:textId="77777777" w:rsidR="00A031A6" w:rsidRDefault="00916FD0">
            <w:pPr>
              <w:jc w:val="right"/>
              <w:rPr>
                <w:color w:val="000000"/>
                <w:sz w:val="14"/>
                <w:szCs w:val="14"/>
              </w:rPr>
            </w:pPr>
            <w:r>
              <w:rPr>
                <w:color w:val="000000"/>
                <w:sz w:val="14"/>
                <w:szCs w:val="14"/>
              </w:rPr>
              <w:t>3,200,671</w:t>
            </w:r>
          </w:p>
        </w:tc>
        <w:tc>
          <w:tcPr>
            <w:tcW w:w="1510" w:type="dxa"/>
            <w:gridSpan w:val="2"/>
            <w:tcBorders>
              <w:top w:val="nil"/>
              <w:left w:val="nil"/>
              <w:bottom w:val="nil"/>
              <w:right w:val="nil"/>
            </w:tcBorders>
            <w:shd w:val="clear" w:color="auto" w:fill="FFFFFF"/>
            <w:vAlign w:val="bottom"/>
          </w:tcPr>
          <w:p w14:paraId="4D53E310" w14:textId="77777777" w:rsidR="00A031A6" w:rsidRDefault="00916FD0">
            <w:pPr>
              <w:jc w:val="right"/>
              <w:rPr>
                <w:color w:val="000000"/>
                <w:sz w:val="14"/>
                <w:szCs w:val="14"/>
              </w:rPr>
            </w:pPr>
            <w:r>
              <w:rPr>
                <w:color w:val="000000"/>
                <w:sz w:val="14"/>
                <w:szCs w:val="14"/>
              </w:rPr>
              <w:t>721,734</w:t>
            </w:r>
          </w:p>
        </w:tc>
        <w:tc>
          <w:tcPr>
            <w:tcW w:w="1254" w:type="dxa"/>
            <w:gridSpan w:val="2"/>
            <w:tcBorders>
              <w:top w:val="nil"/>
              <w:left w:val="nil"/>
              <w:bottom w:val="nil"/>
              <w:right w:val="nil"/>
            </w:tcBorders>
            <w:shd w:val="clear" w:color="auto" w:fill="FFFFFF"/>
            <w:vAlign w:val="bottom"/>
          </w:tcPr>
          <w:p w14:paraId="263AB022" w14:textId="77777777" w:rsidR="00A031A6" w:rsidRDefault="00916FD0">
            <w:pPr>
              <w:jc w:val="right"/>
              <w:rPr>
                <w:color w:val="000000"/>
                <w:sz w:val="14"/>
                <w:szCs w:val="14"/>
              </w:rPr>
            </w:pPr>
            <w:r>
              <w:rPr>
                <w:color w:val="000000"/>
                <w:sz w:val="14"/>
                <w:szCs w:val="14"/>
              </w:rPr>
              <w:t>1,012,205</w:t>
            </w:r>
          </w:p>
        </w:tc>
        <w:tc>
          <w:tcPr>
            <w:tcW w:w="995" w:type="dxa"/>
            <w:tcBorders>
              <w:top w:val="nil"/>
              <w:left w:val="nil"/>
              <w:bottom w:val="nil"/>
              <w:right w:val="nil"/>
            </w:tcBorders>
            <w:shd w:val="clear" w:color="auto" w:fill="FFFFFF"/>
            <w:vAlign w:val="bottom"/>
          </w:tcPr>
          <w:p w14:paraId="3483E198" w14:textId="77777777" w:rsidR="00A031A6" w:rsidRDefault="00916FD0">
            <w:pPr>
              <w:jc w:val="right"/>
              <w:rPr>
                <w:color w:val="000000"/>
                <w:sz w:val="14"/>
                <w:szCs w:val="14"/>
              </w:rPr>
            </w:pPr>
            <w:r>
              <w:rPr>
                <w:color w:val="000000"/>
                <w:sz w:val="14"/>
                <w:szCs w:val="14"/>
              </w:rPr>
              <w:t>7,939,072</w:t>
            </w:r>
          </w:p>
        </w:tc>
        <w:tc>
          <w:tcPr>
            <w:tcW w:w="986" w:type="dxa"/>
            <w:gridSpan w:val="2"/>
            <w:tcBorders>
              <w:top w:val="nil"/>
              <w:left w:val="nil"/>
              <w:bottom w:val="nil"/>
              <w:right w:val="nil"/>
            </w:tcBorders>
            <w:shd w:val="clear" w:color="auto" w:fill="FFFFFF"/>
            <w:vAlign w:val="bottom"/>
          </w:tcPr>
          <w:p w14:paraId="42724482" w14:textId="77777777" w:rsidR="00A031A6" w:rsidRDefault="00916FD0">
            <w:pPr>
              <w:jc w:val="right"/>
              <w:rPr>
                <w:color w:val="000000"/>
                <w:sz w:val="14"/>
                <w:szCs w:val="14"/>
              </w:rPr>
            </w:pPr>
            <w:r>
              <w:rPr>
                <w:color w:val="000000"/>
                <w:sz w:val="14"/>
                <w:szCs w:val="14"/>
              </w:rPr>
              <w:t>36%</w:t>
            </w:r>
          </w:p>
        </w:tc>
        <w:tc>
          <w:tcPr>
            <w:tcW w:w="1214" w:type="dxa"/>
            <w:gridSpan w:val="2"/>
            <w:tcBorders>
              <w:top w:val="nil"/>
              <w:left w:val="nil"/>
              <w:bottom w:val="nil"/>
              <w:right w:val="nil"/>
            </w:tcBorders>
            <w:shd w:val="clear" w:color="auto" w:fill="FFFFFF"/>
            <w:vAlign w:val="bottom"/>
          </w:tcPr>
          <w:p w14:paraId="34BB0339" w14:textId="77777777" w:rsidR="00A031A6" w:rsidRDefault="00916FD0">
            <w:pPr>
              <w:jc w:val="right"/>
              <w:rPr>
                <w:color w:val="000000"/>
                <w:sz w:val="14"/>
                <w:szCs w:val="14"/>
              </w:rPr>
            </w:pPr>
            <w:r>
              <w:rPr>
                <w:color w:val="000000"/>
                <w:sz w:val="14"/>
                <w:szCs w:val="14"/>
              </w:rPr>
              <w:t>14,334,925</w:t>
            </w:r>
          </w:p>
        </w:tc>
        <w:tc>
          <w:tcPr>
            <w:tcW w:w="1216" w:type="dxa"/>
            <w:gridSpan w:val="2"/>
            <w:tcBorders>
              <w:top w:val="nil"/>
              <w:left w:val="nil"/>
              <w:bottom w:val="nil"/>
              <w:right w:val="nil"/>
            </w:tcBorders>
            <w:shd w:val="clear" w:color="auto" w:fill="FFFFFF"/>
            <w:vAlign w:val="bottom"/>
          </w:tcPr>
          <w:p w14:paraId="05776CF0" w14:textId="77777777" w:rsidR="00A031A6" w:rsidRDefault="00916FD0">
            <w:pPr>
              <w:jc w:val="right"/>
              <w:rPr>
                <w:color w:val="000000"/>
                <w:sz w:val="14"/>
                <w:szCs w:val="14"/>
              </w:rPr>
            </w:pPr>
            <w:r>
              <w:rPr>
                <w:color w:val="000000"/>
                <w:sz w:val="14"/>
                <w:szCs w:val="14"/>
              </w:rPr>
              <w:t>64%</w:t>
            </w:r>
          </w:p>
        </w:tc>
        <w:tc>
          <w:tcPr>
            <w:tcW w:w="988" w:type="dxa"/>
            <w:gridSpan w:val="2"/>
            <w:tcBorders>
              <w:top w:val="nil"/>
              <w:left w:val="nil"/>
              <w:bottom w:val="nil"/>
              <w:right w:val="nil"/>
            </w:tcBorders>
            <w:shd w:val="clear" w:color="auto" w:fill="FFFFFF"/>
            <w:vAlign w:val="bottom"/>
          </w:tcPr>
          <w:p w14:paraId="519AF4C0" w14:textId="77777777" w:rsidR="00A031A6" w:rsidRDefault="00916FD0">
            <w:pPr>
              <w:jc w:val="right"/>
              <w:rPr>
                <w:color w:val="000000"/>
                <w:sz w:val="14"/>
                <w:szCs w:val="14"/>
              </w:rPr>
            </w:pPr>
            <w:r>
              <w:rPr>
                <w:color w:val="000000"/>
                <w:sz w:val="14"/>
                <w:szCs w:val="14"/>
              </w:rPr>
              <w:t>30%</w:t>
            </w:r>
          </w:p>
        </w:tc>
        <w:tc>
          <w:tcPr>
            <w:tcW w:w="1426" w:type="dxa"/>
            <w:gridSpan w:val="2"/>
            <w:tcBorders>
              <w:top w:val="nil"/>
              <w:left w:val="nil"/>
              <w:bottom w:val="nil"/>
              <w:right w:val="nil"/>
            </w:tcBorders>
            <w:shd w:val="clear" w:color="auto" w:fill="FFFFFF"/>
            <w:vAlign w:val="bottom"/>
          </w:tcPr>
          <w:p w14:paraId="40AC411E" w14:textId="77777777" w:rsidR="00A031A6" w:rsidRDefault="00916FD0">
            <w:pPr>
              <w:jc w:val="right"/>
              <w:rPr>
                <w:color w:val="000000"/>
                <w:sz w:val="14"/>
                <w:szCs w:val="14"/>
              </w:rPr>
            </w:pPr>
            <w:r>
              <w:rPr>
                <w:color w:val="000000"/>
                <w:sz w:val="14"/>
                <w:szCs w:val="14"/>
              </w:rPr>
              <w:t>22,273,997</w:t>
            </w:r>
          </w:p>
        </w:tc>
        <w:tc>
          <w:tcPr>
            <w:tcW w:w="1070" w:type="dxa"/>
            <w:tcBorders>
              <w:top w:val="nil"/>
              <w:left w:val="nil"/>
              <w:bottom w:val="nil"/>
              <w:right w:val="nil"/>
            </w:tcBorders>
            <w:shd w:val="clear" w:color="auto" w:fill="FFFFFF"/>
            <w:vAlign w:val="bottom"/>
          </w:tcPr>
          <w:p w14:paraId="2B4AEDCC" w14:textId="77777777" w:rsidR="00A031A6" w:rsidRDefault="00916FD0">
            <w:pPr>
              <w:jc w:val="right"/>
              <w:rPr>
                <w:color w:val="000000"/>
                <w:sz w:val="14"/>
                <w:szCs w:val="14"/>
              </w:rPr>
            </w:pPr>
            <w:r>
              <w:rPr>
                <w:color w:val="000000"/>
                <w:sz w:val="14"/>
                <w:szCs w:val="14"/>
              </w:rPr>
              <w:t>0%</w:t>
            </w:r>
          </w:p>
        </w:tc>
      </w:tr>
      <w:tr w:rsidR="00A031A6" w14:paraId="0C9A3B2D" w14:textId="77777777">
        <w:trPr>
          <w:trHeight w:val="57"/>
        </w:trPr>
        <w:tc>
          <w:tcPr>
            <w:tcW w:w="1560" w:type="dxa"/>
            <w:gridSpan w:val="2"/>
            <w:tcBorders>
              <w:top w:val="nil"/>
              <w:left w:val="nil"/>
              <w:bottom w:val="nil"/>
              <w:right w:val="nil"/>
            </w:tcBorders>
            <w:shd w:val="clear" w:color="auto" w:fill="FFFFFF"/>
            <w:vAlign w:val="bottom"/>
          </w:tcPr>
          <w:p w14:paraId="0AF72EDD" w14:textId="77777777"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14:paraId="47CD7AE0" w14:textId="77777777" w:rsidR="00A031A6" w:rsidRDefault="00916FD0">
            <w:pPr>
              <w:jc w:val="right"/>
              <w:rPr>
                <w:color w:val="000000"/>
                <w:sz w:val="14"/>
                <w:szCs w:val="14"/>
              </w:rPr>
            </w:pPr>
            <w:r>
              <w:rPr>
                <w:color w:val="000000"/>
                <w:sz w:val="14"/>
                <w:szCs w:val="14"/>
              </w:rPr>
              <w:t>23,746,475</w:t>
            </w:r>
          </w:p>
        </w:tc>
        <w:tc>
          <w:tcPr>
            <w:tcW w:w="1043" w:type="dxa"/>
            <w:gridSpan w:val="2"/>
            <w:tcBorders>
              <w:top w:val="nil"/>
              <w:left w:val="nil"/>
              <w:bottom w:val="nil"/>
              <w:right w:val="nil"/>
            </w:tcBorders>
            <w:shd w:val="clear" w:color="auto" w:fill="FFFFFF"/>
            <w:vAlign w:val="bottom"/>
          </w:tcPr>
          <w:p w14:paraId="30EFABC2" w14:textId="77777777" w:rsidR="00A031A6" w:rsidRDefault="00916FD0">
            <w:pPr>
              <w:jc w:val="right"/>
              <w:rPr>
                <w:color w:val="000000"/>
                <w:sz w:val="14"/>
                <w:szCs w:val="14"/>
              </w:rPr>
            </w:pPr>
            <w:r>
              <w:rPr>
                <w:color w:val="000000"/>
                <w:sz w:val="14"/>
                <w:szCs w:val="14"/>
              </w:rPr>
              <w:t>22,273,997</w:t>
            </w:r>
          </w:p>
        </w:tc>
        <w:tc>
          <w:tcPr>
            <w:tcW w:w="967" w:type="dxa"/>
            <w:gridSpan w:val="2"/>
            <w:tcBorders>
              <w:top w:val="nil"/>
              <w:left w:val="nil"/>
              <w:bottom w:val="nil"/>
              <w:right w:val="nil"/>
            </w:tcBorders>
            <w:shd w:val="clear" w:color="auto" w:fill="FFFFFF"/>
            <w:vAlign w:val="bottom"/>
          </w:tcPr>
          <w:p w14:paraId="759CF6C8" w14:textId="77777777" w:rsidR="00A031A6" w:rsidRDefault="00916FD0">
            <w:pPr>
              <w:jc w:val="right"/>
              <w:rPr>
                <w:color w:val="000000"/>
                <w:sz w:val="14"/>
                <w:szCs w:val="14"/>
              </w:rPr>
            </w:pPr>
            <w:r>
              <w:rPr>
                <w:color w:val="000000"/>
                <w:sz w:val="14"/>
                <w:szCs w:val="14"/>
              </w:rPr>
              <w:t>3,328,644</w:t>
            </w:r>
          </w:p>
        </w:tc>
        <w:tc>
          <w:tcPr>
            <w:tcW w:w="1510" w:type="dxa"/>
            <w:gridSpan w:val="2"/>
            <w:tcBorders>
              <w:top w:val="nil"/>
              <w:left w:val="nil"/>
              <w:bottom w:val="nil"/>
              <w:right w:val="nil"/>
            </w:tcBorders>
            <w:shd w:val="clear" w:color="auto" w:fill="FFFFFF"/>
            <w:vAlign w:val="bottom"/>
          </w:tcPr>
          <w:p w14:paraId="21B45789" w14:textId="77777777" w:rsidR="00A031A6" w:rsidRDefault="00916FD0">
            <w:pPr>
              <w:jc w:val="right"/>
              <w:rPr>
                <w:color w:val="000000"/>
                <w:sz w:val="14"/>
                <w:szCs w:val="14"/>
              </w:rPr>
            </w:pPr>
            <w:r>
              <w:rPr>
                <w:color w:val="000000"/>
                <w:sz w:val="14"/>
                <w:szCs w:val="14"/>
              </w:rPr>
              <w:t>661,589</w:t>
            </w:r>
          </w:p>
        </w:tc>
        <w:tc>
          <w:tcPr>
            <w:tcW w:w="1254" w:type="dxa"/>
            <w:gridSpan w:val="2"/>
            <w:tcBorders>
              <w:top w:val="nil"/>
              <w:left w:val="nil"/>
              <w:bottom w:val="nil"/>
              <w:right w:val="nil"/>
            </w:tcBorders>
            <w:shd w:val="clear" w:color="auto" w:fill="FFFFFF"/>
            <w:vAlign w:val="bottom"/>
          </w:tcPr>
          <w:p w14:paraId="1E8EE66F" w14:textId="77777777" w:rsidR="00A031A6" w:rsidRDefault="00916FD0">
            <w:pPr>
              <w:jc w:val="right"/>
              <w:rPr>
                <w:color w:val="000000"/>
                <w:sz w:val="14"/>
                <w:szCs w:val="14"/>
              </w:rPr>
            </w:pPr>
            <w:r>
              <w:rPr>
                <w:color w:val="000000"/>
                <w:sz w:val="14"/>
                <w:szCs w:val="14"/>
              </w:rPr>
              <w:t>1,194,577</w:t>
            </w:r>
          </w:p>
        </w:tc>
        <w:tc>
          <w:tcPr>
            <w:tcW w:w="995" w:type="dxa"/>
            <w:tcBorders>
              <w:top w:val="nil"/>
              <w:left w:val="nil"/>
              <w:bottom w:val="nil"/>
              <w:right w:val="nil"/>
            </w:tcBorders>
            <w:shd w:val="clear" w:color="auto" w:fill="FFFFFF"/>
            <w:vAlign w:val="bottom"/>
          </w:tcPr>
          <w:p w14:paraId="6B2AE49F" w14:textId="77777777" w:rsidR="00A031A6" w:rsidRDefault="00916FD0">
            <w:pPr>
              <w:jc w:val="right"/>
              <w:rPr>
                <w:color w:val="000000"/>
                <w:sz w:val="14"/>
                <w:szCs w:val="14"/>
              </w:rPr>
            </w:pPr>
            <w:r>
              <w:rPr>
                <w:color w:val="000000"/>
                <w:sz w:val="14"/>
                <w:szCs w:val="14"/>
              </w:rPr>
              <w:t>7,277,483</w:t>
            </w:r>
          </w:p>
        </w:tc>
        <w:tc>
          <w:tcPr>
            <w:tcW w:w="986" w:type="dxa"/>
            <w:gridSpan w:val="2"/>
            <w:tcBorders>
              <w:top w:val="nil"/>
              <w:left w:val="nil"/>
              <w:bottom w:val="nil"/>
              <w:right w:val="nil"/>
            </w:tcBorders>
            <w:shd w:val="clear" w:color="auto" w:fill="FFFFFF"/>
            <w:vAlign w:val="bottom"/>
          </w:tcPr>
          <w:p w14:paraId="67919FB8" w14:textId="77777777" w:rsidR="00A031A6" w:rsidRDefault="00916FD0">
            <w:pPr>
              <w:jc w:val="right"/>
              <w:rPr>
                <w:color w:val="000000"/>
                <w:sz w:val="14"/>
                <w:szCs w:val="14"/>
              </w:rPr>
            </w:pPr>
            <w:r>
              <w:rPr>
                <w:color w:val="000000"/>
                <w:sz w:val="14"/>
                <w:szCs w:val="14"/>
              </w:rPr>
              <w:t>31%</w:t>
            </w:r>
          </w:p>
        </w:tc>
        <w:tc>
          <w:tcPr>
            <w:tcW w:w="1214" w:type="dxa"/>
            <w:gridSpan w:val="2"/>
            <w:tcBorders>
              <w:top w:val="nil"/>
              <w:left w:val="nil"/>
              <w:bottom w:val="nil"/>
              <w:right w:val="nil"/>
            </w:tcBorders>
            <w:shd w:val="clear" w:color="auto" w:fill="FFFFFF"/>
            <w:vAlign w:val="bottom"/>
          </w:tcPr>
          <w:p w14:paraId="58A94EB4" w14:textId="77777777" w:rsidR="00A031A6" w:rsidRDefault="00916FD0">
            <w:pPr>
              <w:jc w:val="right"/>
              <w:rPr>
                <w:color w:val="000000"/>
                <w:sz w:val="14"/>
                <w:szCs w:val="14"/>
              </w:rPr>
            </w:pPr>
            <w:r>
              <w:rPr>
                <w:color w:val="000000"/>
                <w:sz w:val="14"/>
                <w:szCs w:val="14"/>
              </w:rPr>
              <w:t>16,468,992</w:t>
            </w:r>
          </w:p>
        </w:tc>
        <w:tc>
          <w:tcPr>
            <w:tcW w:w="1216" w:type="dxa"/>
            <w:gridSpan w:val="2"/>
            <w:tcBorders>
              <w:top w:val="nil"/>
              <w:left w:val="nil"/>
              <w:bottom w:val="nil"/>
              <w:right w:val="nil"/>
            </w:tcBorders>
            <w:shd w:val="clear" w:color="auto" w:fill="FFFFFF"/>
            <w:vAlign w:val="bottom"/>
          </w:tcPr>
          <w:p w14:paraId="723D28B4" w14:textId="77777777" w:rsidR="00A031A6" w:rsidRDefault="00916FD0">
            <w:pPr>
              <w:jc w:val="right"/>
              <w:rPr>
                <w:color w:val="000000"/>
                <w:sz w:val="14"/>
                <w:szCs w:val="14"/>
              </w:rPr>
            </w:pPr>
            <w:r>
              <w:rPr>
                <w:color w:val="000000"/>
                <w:sz w:val="14"/>
                <w:szCs w:val="14"/>
              </w:rPr>
              <w:t>69%</w:t>
            </w:r>
          </w:p>
        </w:tc>
        <w:tc>
          <w:tcPr>
            <w:tcW w:w="988" w:type="dxa"/>
            <w:gridSpan w:val="2"/>
            <w:tcBorders>
              <w:top w:val="nil"/>
              <w:left w:val="nil"/>
              <w:bottom w:val="nil"/>
              <w:right w:val="nil"/>
            </w:tcBorders>
            <w:shd w:val="clear" w:color="auto" w:fill="FFFFFF"/>
            <w:vAlign w:val="bottom"/>
          </w:tcPr>
          <w:p w14:paraId="2F4F6F03" w14:textId="77777777" w:rsidR="00A031A6" w:rsidRDefault="00916FD0">
            <w:pPr>
              <w:jc w:val="right"/>
              <w:rPr>
                <w:color w:val="000000"/>
                <w:sz w:val="14"/>
                <w:szCs w:val="14"/>
              </w:rPr>
            </w:pPr>
            <w:r>
              <w:rPr>
                <w:color w:val="000000"/>
                <w:sz w:val="14"/>
                <w:szCs w:val="14"/>
              </w:rPr>
              <w:t>32%</w:t>
            </w:r>
          </w:p>
        </w:tc>
        <w:tc>
          <w:tcPr>
            <w:tcW w:w="1426" w:type="dxa"/>
            <w:gridSpan w:val="2"/>
            <w:tcBorders>
              <w:top w:val="nil"/>
              <w:left w:val="nil"/>
              <w:bottom w:val="nil"/>
              <w:right w:val="nil"/>
            </w:tcBorders>
            <w:shd w:val="clear" w:color="auto" w:fill="FFFFFF"/>
            <w:vAlign w:val="bottom"/>
          </w:tcPr>
          <w:p w14:paraId="1562960B" w14:textId="77777777" w:rsidR="00A031A6" w:rsidRDefault="00916FD0">
            <w:pPr>
              <w:jc w:val="right"/>
              <w:rPr>
                <w:color w:val="000000"/>
                <w:sz w:val="14"/>
                <w:szCs w:val="14"/>
              </w:rPr>
            </w:pPr>
            <w:r>
              <w:rPr>
                <w:color w:val="000000"/>
                <w:sz w:val="14"/>
                <w:szCs w:val="14"/>
              </w:rPr>
              <w:t>23,746,475</w:t>
            </w:r>
          </w:p>
        </w:tc>
        <w:tc>
          <w:tcPr>
            <w:tcW w:w="1070" w:type="dxa"/>
            <w:tcBorders>
              <w:top w:val="nil"/>
              <w:left w:val="nil"/>
              <w:bottom w:val="nil"/>
              <w:right w:val="nil"/>
            </w:tcBorders>
            <w:shd w:val="clear" w:color="auto" w:fill="FFFFFF"/>
            <w:vAlign w:val="bottom"/>
          </w:tcPr>
          <w:p w14:paraId="0222D035" w14:textId="77777777" w:rsidR="00A031A6" w:rsidRDefault="00916FD0">
            <w:pPr>
              <w:jc w:val="right"/>
              <w:rPr>
                <w:color w:val="000000"/>
                <w:sz w:val="14"/>
                <w:szCs w:val="14"/>
              </w:rPr>
            </w:pPr>
            <w:r>
              <w:rPr>
                <w:color w:val="000000"/>
                <w:sz w:val="14"/>
                <w:szCs w:val="14"/>
              </w:rPr>
              <w:t>0%</w:t>
            </w:r>
          </w:p>
        </w:tc>
      </w:tr>
      <w:tr w:rsidR="00A031A6" w14:paraId="2D83E1FE" w14:textId="77777777">
        <w:trPr>
          <w:trHeight w:val="57"/>
        </w:trPr>
        <w:tc>
          <w:tcPr>
            <w:tcW w:w="1560" w:type="dxa"/>
            <w:gridSpan w:val="2"/>
            <w:tcBorders>
              <w:top w:val="nil"/>
              <w:left w:val="nil"/>
              <w:bottom w:val="nil"/>
              <w:right w:val="nil"/>
            </w:tcBorders>
            <w:shd w:val="clear" w:color="auto" w:fill="FFFFFF"/>
            <w:vAlign w:val="bottom"/>
          </w:tcPr>
          <w:p w14:paraId="13DCF07D" w14:textId="77777777"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14:paraId="1E02AC4B" w14:textId="77777777" w:rsidR="00A031A6" w:rsidRDefault="00916FD0">
            <w:pPr>
              <w:jc w:val="right"/>
              <w:rPr>
                <w:color w:val="000000"/>
                <w:sz w:val="14"/>
                <w:szCs w:val="14"/>
              </w:rPr>
            </w:pPr>
            <w:r>
              <w:rPr>
                <w:color w:val="000000"/>
                <w:sz w:val="14"/>
                <w:szCs w:val="14"/>
              </w:rPr>
              <w:t>25,229,336</w:t>
            </w:r>
          </w:p>
        </w:tc>
        <w:tc>
          <w:tcPr>
            <w:tcW w:w="1043" w:type="dxa"/>
            <w:gridSpan w:val="2"/>
            <w:tcBorders>
              <w:top w:val="nil"/>
              <w:left w:val="nil"/>
              <w:bottom w:val="nil"/>
              <w:right w:val="nil"/>
            </w:tcBorders>
            <w:shd w:val="clear" w:color="auto" w:fill="FFFFFF"/>
            <w:vAlign w:val="bottom"/>
          </w:tcPr>
          <w:p w14:paraId="67986903" w14:textId="77777777" w:rsidR="00A031A6" w:rsidRDefault="00916FD0">
            <w:pPr>
              <w:jc w:val="right"/>
              <w:rPr>
                <w:color w:val="000000"/>
                <w:sz w:val="14"/>
                <w:szCs w:val="14"/>
              </w:rPr>
            </w:pPr>
            <w:r>
              <w:rPr>
                <w:color w:val="000000"/>
                <w:sz w:val="14"/>
                <w:szCs w:val="14"/>
              </w:rPr>
              <w:t>23,746,475</w:t>
            </w:r>
          </w:p>
        </w:tc>
        <w:tc>
          <w:tcPr>
            <w:tcW w:w="967" w:type="dxa"/>
            <w:gridSpan w:val="2"/>
            <w:tcBorders>
              <w:top w:val="nil"/>
              <w:left w:val="nil"/>
              <w:bottom w:val="nil"/>
              <w:right w:val="nil"/>
            </w:tcBorders>
            <w:shd w:val="clear" w:color="auto" w:fill="FFFFFF"/>
            <w:vAlign w:val="bottom"/>
          </w:tcPr>
          <w:p w14:paraId="5D017D47" w14:textId="77777777" w:rsidR="00A031A6" w:rsidRDefault="00916FD0">
            <w:pPr>
              <w:jc w:val="right"/>
              <w:rPr>
                <w:color w:val="000000"/>
                <w:sz w:val="14"/>
                <w:szCs w:val="14"/>
              </w:rPr>
            </w:pPr>
            <w:r>
              <w:rPr>
                <w:color w:val="000000"/>
                <w:sz w:val="14"/>
                <w:szCs w:val="14"/>
              </w:rPr>
              <w:t>3,461,735</w:t>
            </w:r>
          </w:p>
        </w:tc>
        <w:tc>
          <w:tcPr>
            <w:tcW w:w="1510" w:type="dxa"/>
            <w:gridSpan w:val="2"/>
            <w:tcBorders>
              <w:top w:val="nil"/>
              <w:left w:val="nil"/>
              <w:bottom w:val="nil"/>
              <w:right w:val="nil"/>
            </w:tcBorders>
            <w:shd w:val="clear" w:color="auto" w:fill="FFFFFF"/>
            <w:vAlign w:val="bottom"/>
          </w:tcPr>
          <w:p w14:paraId="1D300594" w14:textId="77777777" w:rsidR="00A031A6" w:rsidRDefault="00916FD0">
            <w:pPr>
              <w:jc w:val="right"/>
              <w:rPr>
                <w:color w:val="000000"/>
                <w:sz w:val="14"/>
                <w:szCs w:val="14"/>
              </w:rPr>
            </w:pPr>
            <w:r>
              <w:rPr>
                <w:color w:val="000000"/>
                <w:sz w:val="14"/>
                <w:szCs w:val="14"/>
              </w:rPr>
              <w:t>606,457</w:t>
            </w:r>
          </w:p>
        </w:tc>
        <w:tc>
          <w:tcPr>
            <w:tcW w:w="1254" w:type="dxa"/>
            <w:gridSpan w:val="2"/>
            <w:tcBorders>
              <w:top w:val="nil"/>
              <w:left w:val="nil"/>
              <w:bottom w:val="nil"/>
              <w:right w:val="nil"/>
            </w:tcBorders>
            <w:shd w:val="clear" w:color="auto" w:fill="FFFFFF"/>
            <w:vAlign w:val="bottom"/>
          </w:tcPr>
          <w:p w14:paraId="5652D11C" w14:textId="77777777" w:rsidR="00A031A6" w:rsidRDefault="00916FD0">
            <w:pPr>
              <w:jc w:val="right"/>
              <w:rPr>
                <w:color w:val="000000"/>
                <w:sz w:val="14"/>
                <w:szCs w:val="14"/>
              </w:rPr>
            </w:pPr>
            <w:r>
              <w:rPr>
                <w:color w:val="000000"/>
                <w:sz w:val="14"/>
                <w:szCs w:val="14"/>
              </w:rPr>
              <w:t>1,372,416</w:t>
            </w:r>
          </w:p>
        </w:tc>
        <w:tc>
          <w:tcPr>
            <w:tcW w:w="995" w:type="dxa"/>
            <w:tcBorders>
              <w:top w:val="nil"/>
              <w:left w:val="nil"/>
              <w:bottom w:val="nil"/>
              <w:right w:val="nil"/>
            </w:tcBorders>
            <w:shd w:val="clear" w:color="auto" w:fill="FFFFFF"/>
            <w:vAlign w:val="bottom"/>
          </w:tcPr>
          <w:p w14:paraId="422D10EA" w14:textId="77777777" w:rsidR="00A031A6" w:rsidRDefault="00916FD0">
            <w:pPr>
              <w:jc w:val="right"/>
              <w:rPr>
                <w:color w:val="000000"/>
                <w:sz w:val="14"/>
                <w:szCs w:val="14"/>
              </w:rPr>
            </w:pPr>
            <w:r>
              <w:rPr>
                <w:color w:val="000000"/>
                <w:sz w:val="14"/>
                <w:szCs w:val="14"/>
              </w:rPr>
              <w:t>6,671,026</w:t>
            </w:r>
          </w:p>
        </w:tc>
        <w:tc>
          <w:tcPr>
            <w:tcW w:w="986" w:type="dxa"/>
            <w:gridSpan w:val="2"/>
            <w:tcBorders>
              <w:top w:val="nil"/>
              <w:left w:val="nil"/>
              <w:bottom w:val="nil"/>
              <w:right w:val="nil"/>
            </w:tcBorders>
            <w:shd w:val="clear" w:color="auto" w:fill="FFFFFF"/>
            <w:vAlign w:val="bottom"/>
          </w:tcPr>
          <w:p w14:paraId="55EEB081" w14:textId="77777777" w:rsidR="00A031A6" w:rsidRDefault="00916FD0">
            <w:pPr>
              <w:jc w:val="right"/>
              <w:rPr>
                <w:color w:val="000000"/>
                <w:sz w:val="14"/>
                <w:szCs w:val="14"/>
              </w:rPr>
            </w:pPr>
            <w:r>
              <w:rPr>
                <w:color w:val="000000"/>
                <w:sz w:val="14"/>
                <w:szCs w:val="14"/>
              </w:rPr>
              <w:t>26%</w:t>
            </w:r>
          </w:p>
        </w:tc>
        <w:tc>
          <w:tcPr>
            <w:tcW w:w="1214" w:type="dxa"/>
            <w:gridSpan w:val="2"/>
            <w:tcBorders>
              <w:top w:val="nil"/>
              <w:left w:val="nil"/>
              <w:bottom w:val="nil"/>
              <w:right w:val="nil"/>
            </w:tcBorders>
            <w:shd w:val="clear" w:color="auto" w:fill="FFFFFF"/>
            <w:vAlign w:val="bottom"/>
          </w:tcPr>
          <w:p w14:paraId="40F63A5A" w14:textId="77777777" w:rsidR="00A031A6" w:rsidRDefault="00916FD0">
            <w:pPr>
              <w:jc w:val="right"/>
              <w:rPr>
                <w:color w:val="000000"/>
                <w:sz w:val="14"/>
                <w:szCs w:val="14"/>
              </w:rPr>
            </w:pPr>
            <w:r>
              <w:rPr>
                <w:color w:val="000000"/>
                <w:sz w:val="14"/>
                <w:szCs w:val="14"/>
              </w:rPr>
              <w:t>18,558,311</w:t>
            </w:r>
          </w:p>
        </w:tc>
        <w:tc>
          <w:tcPr>
            <w:tcW w:w="1216" w:type="dxa"/>
            <w:gridSpan w:val="2"/>
            <w:tcBorders>
              <w:top w:val="nil"/>
              <w:left w:val="nil"/>
              <w:bottom w:val="nil"/>
              <w:right w:val="nil"/>
            </w:tcBorders>
            <w:shd w:val="clear" w:color="auto" w:fill="FFFFFF"/>
            <w:vAlign w:val="bottom"/>
          </w:tcPr>
          <w:p w14:paraId="41296157" w14:textId="77777777" w:rsidR="00A031A6" w:rsidRDefault="00916FD0">
            <w:pPr>
              <w:jc w:val="right"/>
              <w:rPr>
                <w:color w:val="000000"/>
                <w:sz w:val="14"/>
                <w:szCs w:val="14"/>
              </w:rPr>
            </w:pPr>
            <w:r>
              <w:rPr>
                <w:color w:val="000000"/>
                <w:sz w:val="14"/>
                <w:szCs w:val="14"/>
              </w:rPr>
              <w:t>74%</w:t>
            </w:r>
          </w:p>
        </w:tc>
        <w:tc>
          <w:tcPr>
            <w:tcW w:w="988" w:type="dxa"/>
            <w:gridSpan w:val="2"/>
            <w:tcBorders>
              <w:top w:val="nil"/>
              <w:left w:val="nil"/>
              <w:bottom w:val="nil"/>
              <w:right w:val="nil"/>
            </w:tcBorders>
            <w:shd w:val="clear" w:color="auto" w:fill="FFFFFF"/>
            <w:vAlign w:val="bottom"/>
          </w:tcPr>
          <w:p w14:paraId="6B882DDB" w14:textId="77777777" w:rsidR="00A031A6" w:rsidRDefault="00916FD0">
            <w:pPr>
              <w:jc w:val="right"/>
              <w:rPr>
                <w:color w:val="000000"/>
                <w:sz w:val="14"/>
                <w:szCs w:val="14"/>
              </w:rPr>
            </w:pPr>
            <w:r>
              <w:rPr>
                <w:color w:val="000000"/>
                <w:sz w:val="14"/>
                <w:szCs w:val="14"/>
              </w:rPr>
              <w:t>33%</w:t>
            </w:r>
          </w:p>
        </w:tc>
        <w:tc>
          <w:tcPr>
            <w:tcW w:w="1426" w:type="dxa"/>
            <w:gridSpan w:val="2"/>
            <w:tcBorders>
              <w:top w:val="nil"/>
              <w:left w:val="nil"/>
              <w:bottom w:val="nil"/>
              <w:right w:val="nil"/>
            </w:tcBorders>
            <w:shd w:val="clear" w:color="auto" w:fill="FFFFFF"/>
            <w:vAlign w:val="bottom"/>
          </w:tcPr>
          <w:p w14:paraId="62540FEF" w14:textId="77777777" w:rsidR="00A031A6" w:rsidRDefault="00916FD0">
            <w:pPr>
              <w:jc w:val="right"/>
              <w:rPr>
                <w:color w:val="000000"/>
                <w:sz w:val="14"/>
                <w:szCs w:val="14"/>
              </w:rPr>
            </w:pPr>
            <w:r>
              <w:rPr>
                <w:color w:val="000000"/>
                <w:sz w:val="14"/>
                <w:szCs w:val="14"/>
              </w:rPr>
              <w:t>25,229,336</w:t>
            </w:r>
          </w:p>
        </w:tc>
        <w:tc>
          <w:tcPr>
            <w:tcW w:w="1070" w:type="dxa"/>
            <w:tcBorders>
              <w:top w:val="nil"/>
              <w:left w:val="nil"/>
              <w:bottom w:val="nil"/>
              <w:right w:val="nil"/>
            </w:tcBorders>
            <w:shd w:val="clear" w:color="auto" w:fill="FFFFFF"/>
            <w:vAlign w:val="bottom"/>
          </w:tcPr>
          <w:p w14:paraId="4DF43AE2" w14:textId="77777777" w:rsidR="00A031A6" w:rsidRDefault="00916FD0">
            <w:pPr>
              <w:jc w:val="right"/>
              <w:rPr>
                <w:color w:val="000000"/>
                <w:sz w:val="14"/>
                <w:szCs w:val="14"/>
              </w:rPr>
            </w:pPr>
            <w:r>
              <w:rPr>
                <w:color w:val="000000"/>
                <w:sz w:val="14"/>
                <w:szCs w:val="14"/>
              </w:rPr>
              <w:t>0%</w:t>
            </w:r>
          </w:p>
        </w:tc>
      </w:tr>
      <w:tr w:rsidR="00A031A6" w14:paraId="146FAB90" w14:textId="77777777">
        <w:trPr>
          <w:trHeight w:val="57"/>
        </w:trPr>
        <w:tc>
          <w:tcPr>
            <w:tcW w:w="1560" w:type="dxa"/>
            <w:gridSpan w:val="2"/>
            <w:tcBorders>
              <w:top w:val="nil"/>
              <w:left w:val="nil"/>
              <w:bottom w:val="nil"/>
              <w:right w:val="nil"/>
            </w:tcBorders>
            <w:shd w:val="clear" w:color="auto" w:fill="FFFFFF"/>
            <w:vAlign w:val="bottom"/>
          </w:tcPr>
          <w:p w14:paraId="3781AAB6" w14:textId="77777777"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14:paraId="047ECF01" w14:textId="77777777" w:rsidR="00A031A6" w:rsidRDefault="00916FD0">
            <w:pPr>
              <w:jc w:val="right"/>
              <w:rPr>
                <w:color w:val="000000"/>
                <w:sz w:val="14"/>
                <w:szCs w:val="14"/>
              </w:rPr>
            </w:pPr>
            <w:r>
              <w:rPr>
                <w:color w:val="000000"/>
                <w:sz w:val="14"/>
                <w:szCs w:val="14"/>
              </w:rPr>
              <w:t>26,727,038</w:t>
            </w:r>
          </w:p>
        </w:tc>
        <w:tc>
          <w:tcPr>
            <w:tcW w:w="1043" w:type="dxa"/>
            <w:gridSpan w:val="2"/>
            <w:tcBorders>
              <w:top w:val="nil"/>
              <w:left w:val="nil"/>
              <w:bottom w:val="nil"/>
              <w:right w:val="nil"/>
            </w:tcBorders>
            <w:shd w:val="clear" w:color="auto" w:fill="FFFFFF"/>
            <w:vAlign w:val="bottom"/>
          </w:tcPr>
          <w:p w14:paraId="0FD80666" w14:textId="77777777" w:rsidR="00A031A6" w:rsidRDefault="00916FD0">
            <w:pPr>
              <w:jc w:val="right"/>
              <w:rPr>
                <w:color w:val="000000"/>
                <w:sz w:val="14"/>
                <w:szCs w:val="14"/>
              </w:rPr>
            </w:pPr>
            <w:r>
              <w:rPr>
                <w:color w:val="000000"/>
                <w:sz w:val="14"/>
                <w:szCs w:val="14"/>
              </w:rPr>
              <w:t>25,229,336</w:t>
            </w:r>
          </w:p>
        </w:tc>
        <w:tc>
          <w:tcPr>
            <w:tcW w:w="967" w:type="dxa"/>
            <w:gridSpan w:val="2"/>
            <w:tcBorders>
              <w:top w:val="nil"/>
              <w:left w:val="nil"/>
              <w:bottom w:val="nil"/>
              <w:right w:val="nil"/>
            </w:tcBorders>
            <w:shd w:val="clear" w:color="auto" w:fill="FFFFFF"/>
            <w:vAlign w:val="bottom"/>
          </w:tcPr>
          <w:p w14:paraId="6D7A30E6" w14:textId="77777777" w:rsidR="00A031A6" w:rsidRDefault="00916FD0">
            <w:pPr>
              <w:jc w:val="right"/>
              <w:rPr>
                <w:color w:val="000000"/>
                <w:sz w:val="14"/>
                <w:szCs w:val="14"/>
              </w:rPr>
            </w:pPr>
            <w:r>
              <w:rPr>
                <w:color w:val="000000"/>
                <w:sz w:val="14"/>
                <w:szCs w:val="14"/>
              </w:rPr>
              <w:t>3,600,146</w:t>
            </w:r>
          </w:p>
        </w:tc>
        <w:tc>
          <w:tcPr>
            <w:tcW w:w="1510" w:type="dxa"/>
            <w:gridSpan w:val="2"/>
            <w:tcBorders>
              <w:top w:val="nil"/>
              <w:left w:val="nil"/>
              <w:bottom w:val="nil"/>
              <w:right w:val="nil"/>
            </w:tcBorders>
            <w:shd w:val="clear" w:color="auto" w:fill="FFFFFF"/>
            <w:vAlign w:val="bottom"/>
          </w:tcPr>
          <w:p w14:paraId="03B2CA17" w14:textId="77777777" w:rsidR="00A031A6" w:rsidRDefault="00916FD0">
            <w:pPr>
              <w:jc w:val="right"/>
              <w:rPr>
                <w:color w:val="000000"/>
                <w:sz w:val="14"/>
                <w:szCs w:val="14"/>
              </w:rPr>
            </w:pPr>
            <w:r>
              <w:rPr>
                <w:color w:val="000000"/>
                <w:sz w:val="14"/>
                <w:szCs w:val="14"/>
              </w:rPr>
              <w:t>555,919</w:t>
            </w:r>
          </w:p>
        </w:tc>
        <w:tc>
          <w:tcPr>
            <w:tcW w:w="1254" w:type="dxa"/>
            <w:gridSpan w:val="2"/>
            <w:tcBorders>
              <w:top w:val="nil"/>
              <w:left w:val="nil"/>
              <w:bottom w:val="nil"/>
              <w:right w:val="nil"/>
            </w:tcBorders>
            <w:shd w:val="clear" w:color="auto" w:fill="FFFFFF"/>
            <w:vAlign w:val="bottom"/>
          </w:tcPr>
          <w:p w14:paraId="7CFF826F" w14:textId="77777777" w:rsidR="00A031A6" w:rsidRDefault="00916FD0">
            <w:pPr>
              <w:jc w:val="right"/>
              <w:rPr>
                <w:color w:val="000000"/>
                <w:sz w:val="14"/>
                <w:szCs w:val="14"/>
              </w:rPr>
            </w:pPr>
            <w:r>
              <w:rPr>
                <w:color w:val="000000"/>
                <w:sz w:val="14"/>
                <w:szCs w:val="14"/>
              </w:rPr>
              <w:t>1,546,526</w:t>
            </w:r>
          </w:p>
        </w:tc>
        <w:tc>
          <w:tcPr>
            <w:tcW w:w="995" w:type="dxa"/>
            <w:tcBorders>
              <w:top w:val="nil"/>
              <w:left w:val="nil"/>
              <w:bottom w:val="nil"/>
              <w:right w:val="nil"/>
            </w:tcBorders>
            <w:shd w:val="clear" w:color="auto" w:fill="FFFFFF"/>
            <w:vAlign w:val="bottom"/>
          </w:tcPr>
          <w:p w14:paraId="713BD15C" w14:textId="77777777" w:rsidR="00A031A6" w:rsidRDefault="00916FD0">
            <w:pPr>
              <w:jc w:val="right"/>
              <w:rPr>
                <w:color w:val="000000"/>
                <w:sz w:val="14"/>
                <w:szCs w:val="14"/>
              </w:rPr>
            </w:pPr>
            <w:r>
              <w:rPr>
                <w:color w:val="000000"/>
                <w:sz w:val="14"/>
                <w:szCs w:val="14"/>
              </w:rPr>
              <w:t>6,115,107</w:t>
            </w:r>
          </w:p>
        </w:tc>
        <w:tc>
          <w:tcPr>
            <w:tcW w:w="986" w:type="dxa"/>
            <w:gridSpan w:val="2"/>
            <w:tcBorders>
              <w:top w:val="nil"/>
              <w:left w:val="nil"/>
              <w:bottom w:val="nil"/>
              <w:right w:val="nil"/>
            </w:tcBorders>
            <w:shd w:val="clear" w:color="auto" w:fill="FFFFFF"/>
            <w:vAlign w:val="bottom"/>
          </w:tcPr>
          <w:p w14:paraId="1EDBAC23" w14:textId="77777777" w:rsidR="00A031A6" w:rsidRDefault="00916FD0">
            <w:pPr>
              <w:jc w:val="right"/>
              <w:rPr>
                <w:color w:val="000000"/>
                <w:sz w:val="14"/>
                <w:szCs w:val="14"/>
              </w:rPr>
            </w:pPr>
            <w:r>
              <w:rPr>
                <w:color w:val="000000"/>
                <w:sz w:val="14"/>
                <w:szCs w:val="14"/>
              </w:rPr>
              <w:t>23%</w:t>
            </w:r>
          </w:p>
        </w:tc>
        <w:tc>
          <w:tcPr>
            <w:tcW w:w="1214" w:type="dxa"/>
            <w:gridSpan w:val="2"/>
            <w:tcBorders>
              <w:top w:val="nil"/>
              <w:left w:val="nil"/>
              <w:bottom w:val="nil"/>
              <w:right w:val="nil"/>
            </w:tcBorders>
            <w:shd w:val="clear" w:color="auto" w:fill="FFFFFF"/>
            <w:vAlign w:val="bottom"/>
          </w:tcPr>
          <w:p w14:paraId="6C677BFA" w14:textId="77777777" w:rsidR="00A031A6" w:rsidRDefault="00916FD0">
            <w:pPr>
              <w:jc w:val="right"/>
              <w:rPr>
                <w:color w:val="000000"/>
                <w:sz w:val="14"/>
                <w:szCs w:val="14"/>
              </w:rPr>
            </w:pPr>
            <w:r>
              <w:rPr>
                <w:color w:val="000000"/>
                <w:sz w:val="14"/>
                <w:szCs w:val="14"/>
              </w:rPr>
              <w:t>20,611,931</w:t>
            </w:r>
          </w:p>
        </w:tc>
        <w:tc>
          <w:tcPr>
            <w:tcW w:w="1216" w:type="dxa"/>
            <w:gridSpan w:val="2"/>
            <w:tcBorders>
              <w:top w:val="nil"/>
              <w:left w:val="nil"/>
              <w:bottom w:val="nil"/>
              <w:right w:val="nil"/>
            </w:tcBorders>
            <w:shd w:val="clear" w:color="auto" w:fill="FFFFFF"/>
            <w:vAlign w:val="bottom"/>
          </w:tcPr>
          <w:p w14:paraId="590C07AD" w14:textId="77777777" w:rsidR="00A031A6" w:rsidRDefault="00916FD0">
            <w:pPr>
              <w:jc w:val="right"/>
              <w:rPr>
                <w:color w:val="000000"/>
                <w:sz w:val="14"/>
                <w:szCs w:val="14"/>
              </w:rPr>
            </w:pPr>
            <w:r>
              <w:rPr>
                <w:color w:val="000000"/>
                <w:sz w:val="14"/>
                <w:szCs w:val="14"/>
              </w:rPr>
              <w:t>77%</w:t>
            </w:r>
          </w:p>
        </w:tc>
        <w:tc>
          <w:tcPr>
            <w:tcW w:w="988" w:type="dxa"/>
            <w:gridSpan w:val="2"/>
            <w:tcBorders>
              <w:top w:val="nil"/>
              <w:left w:val="nil"/>
              <w:bottom w:val="nil"/>
              <w:right w:val="nil"/>
            </w:tcBorders>
            <w:shd w:val="clear" w:color="auto" w:fill="FFFFFF"/>
            <w:vAlign w:val="bottom"/>
          </w:tcPr>
          <w:p w14:paraId="3D8F5A61" w14:textId="77777777" w:rsidR="00A031A6" w:rsidRDefault="00916FD0">
            <w:pPr>
              <w:jc w:val="right"/>
              <w:rPr>
                <w:color w:val="000000"/>
                <w:sz w:val="14"/>
                <w:szCs w:val="14"/>
              </w:rPr>
            </w:pPr>
            <w:r>
              <w:rPr>
                <w:color w:val="000000"/>
                <w:sz w:val="14"/>
                <w:szCs w:val="14"/>
              </w:rPr>
              <w:t>35%</w:t>
            </w:r>
          </w:p>
        </w:tc>
        <w:tc>
          <w:tcPr>
            <w:tcW w:w="1426" w:type="dxa"/>
            <w:gridSpan w:val="2"/>
            <w:tcBorders>
              <w:top w:val="nil"/>
              <w:left w:val="nil"/>
              <w:bottom w:val="nil"/>
              <w:right w:val="nil"/>
            </w:tcBorders>
            <w:shd w:val="clear" w:color="auto" w:fill="FFFFFF"/>
            <w:vAlign w:val="bottom"/>
          </w:tcPr>
          <w:p w14:paraId="3F8B0F9C" w14:textId="77777777" w:rsidR="00A031A6" w:rsidRDefault="00916FD0">
            <w:pPr>
              <w:jc w:val="right"/>
              <w:rPr>
                <w:color w:val="000000"/>
                <w:sz w:val="14"/>
                <w:szCs w:val="14"/>
              </w:rPr>
            </w:pPr>
            <w:r>
              <w:rPr>
                <w:color w:val="000000"/>
                <w:sz w:val="14"/>
                <w:szCs w:val="14"/>
              </w:rPr>
              <w:t>26,727,038</w:t>
            </w:r>
          </w:p>
        </w:tc>
        <w:tc>
          <w:tcPr>
            <w:tcW w:w="1070" w:type="dxa"/>
            <w:tcBorders>
              <w:top w:val="nil"/>
              <w:left w:val="nil"/>
              <w:bottom w:val="nil"/>
              <w:right w:val="nil"/>
            </w:tcBorders>
            <w:shd w:val="clear" w:color="auto" w:fill="FFFFFF"/>
            <w:vAlign w:val="bottom"/>
          </w:tcPr>
          <w:p w14:paraId="54E29B61" w14:textId="77777777" w:rsidR="00A031A6" w:rsidRDefault="00916FD0">
            <w:pPr>
              <w:jc w:val="right"/>
              <w:rPr>
                <w:color w:val="000000"/>
                <w:sz w:val="14"/>
                <w:szCs w:val="14"/>
              </w:rPr>
            </w:pPr>
            <w:r>
              <w:rPr>
                <w:color w:val="000000"/>
                <w:sz w:val="14"/>
                <w:szCs w:val="14"/>
              </w:rPr>
              <w:t>0%</w:t>
            </w:r>
          </w:p>
        </w:tc>
      </w:tr>
      <w:tr w:rsidR="00A031A6" w14:paraId="3818D5FF" w14:textId="77777777">
        <w:trPr>
          <w:trHeight w:val="57"/>
        </w:trPr>
        <w:tc>
          <w:tcPr>
            <w:tcW w:w="1560" w:type="dxa"/>
            <w:gridSpan w:val="2"/>
            <w:tcBorders>
              <w:top w:val="nil"/>
              <w:left w:val="nil"/>
              <w:bottom w:val="nil"/>
              <w:right w:val="nil"/>
            </w:tcBorders>
            <w:vAlign w:val="bottom"/>
          </w:tcPr>
          <w:p w14:paraId="1B156631" w14:textId="77777777"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14:paraId="1EFE2617" w14:textId="77777777"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14:paraId="1708145A"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14:paraId="2C018BED"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14:paraId="5261C4A9" w14:textId="77777777"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14:paraId="0BC25EC4" w14:textId="77777777"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14:paraId="3ABA30BD" w14:textId="77777777"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14:paraId="13EC8A98" w14:textId="77777777"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14:paraId="748DAB14" w14:textId="77777777"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14:paraId="79E91181" w14:textId="77777777"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14:paraId="7D5169C9" w14:textId="77777777"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14:paraId="375441D3" w14:textId="77777777"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14:paraId="366E1498" w14:textId="77777777" w:rsidR="00A031A6" w:rsidRDefault="00916FD0">
            <w:pPr>
              <w:rPr>
                <w:color w:val="000000"/>
                <w:sz w:val="14"/>
                <w:szCs w:val="14"/>
              </w:rPr>
            </w:pPr>
            <w:r>
              <w:rPr>
                <w:color w:val="000000"/>
                <w:sz w:val="14"/>
                <w:szCs w:val="14"/>
              </w:rPr>
              <w:t> </w:t>
            </w:r>
          </w:p>
        </w:tc>
      </w:tr>
      <w:tr w:rsidR="00A031A6" w14:paraId="492C483C" w14:textId="77777777">
        <w:trPr>
          <w:trHeight w:val="57"/>
        </w:trPr>
        <w:tc>
          <w:tcPr>
            <w:tcW w:w="1560" w:type="dxa"/>
            <w:gridSpan w:val="2"/>
            <w:tcBorders>
              <w:top w:val="nil"/>
              <w:left w:val="nil"/>
              <w:bottom w:val="nil"/>
              <w:right w:val="nil"/>
            </w:tcBorders>
            <w:shd w:val="clear" w:color="auto" w:fill="808080"/>
            <w:vAlign w:val="bottom"/>
          </w:tcPr>
          <w:p w14:paraId="2BD67C1E" w14:textId="77777777" w:rsidR="00A031A6" w:rsidRDefault="00916FD0">
            <w:pPr>
              <w:rPr>
                <w:b/>
                <w:color w:val="FFFFFF"/>
                <w:sz w:val="14"/>
                <w:szCs w:val="14"/>
              </w:rPr>
            </w:pPr>
            <w:r>
              <w:rPr>
                <w:b/>
                <w:color w:val="FFFFFF"/>
                <w:sz w:val="14"/>
                <w:szCs w:val="14"/>
              </w:rPr>
              <w:t>Refrigerator</w:t>
            </w:r>
          </w:p>
        </w:tc>
        <w:tc>
          <w:tcPr>
            <w:tcW w:w="1169" w:type="dxa"/>
            <w:tcBorders>
              <w:top w:val="nil"/>
              <w:left w:val="nil"/>
              <w:bottom w:val="nil"/>
              <w:right w:val="nil"/>
            </w:tcBorders>
            <w:shd w:val="clear" w:color="auto" w:fill="808080"/>
            <w:vAlign w:val="bottom"/>
          </w:tcPr>
          <w:p w14:paraId="5E6454A0" w14:textId="77777777"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14:paraId="4A0F7423" w14:textId="77777777"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14:paraId="4DE73FC6"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3B867FB3" w14:textId="77777777"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14:paraId="31DDB7AA" w14:textId="77777777"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14:paraId="21DBD318" w14:textId="77777777" w:rsidR="00A031A6" w:rsidRDefault="00916FD0">
            <w:pPr>
              <w:rPr>
                <w:b/>
                <w:color w:val="FFFFFF"/>
                <w:sz w:val="14"/>
                <w:szCs w:val="14"/>
              </w:rPr>
            </w:pPr>
            <w:r>
              <w:rPr>
                <w:b/>
                <w:color w:val="FFFFFF"/>
                <w:sz w:val="14"/>
                <w:szCs w:val="14"/>
              </w:rPr>
              <w:t>Pre-EE</w:t>
            </w:r>
          </w:p>
        </w:tc>
        <w:tc>
          <w:tcPr>
            <w:tcW w:w="986" w:type="dxa"/>
            <w:gridSpan w:val="2"/>
            <w:tcBorders>
              <w:top w:val="nil"/>
              <w:left w:val="nil"/>
              <w:bottom w:val="nil"/>
              <w:right w:val="nil"/>
            </w:tcBorders>
            <w:shd w:val="clear" w:color="auto" w:fill="808080"/>
            <w:vAlign w:val="bottom"/>
          </w:tcPr>
          <w:p w14:paraId="093E0D7F" w14:textId="77777777"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14:paraId="2C988972" w14:textId="77777777"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14:paraId="72DD98C0" w14:textId="77777777"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14:paraId="3A3A02C0" w14:textId="77777777"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14:paraId="5E88431C" w14:textId="77777777"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14:paraId="2C836E54" w14:textId="77777777" w:rsidR="00A031A6" w:rsidRDefault="00916FD0">
            <w:pPr>
              <w:rPr>
                <w:b/>
                <w:color w:val="FFFFFF"/>
                <w:sz w:val="14"/>
                <w:szCs w:val="14"/>
              </w:rPr>
            </w:pPr>
            <w:r>
              <w:rPr>
                <w:b/>
                <w:color w:val="FFFFFF"/>
                <w:sz w:val="14"/>
                <w:szCs w:val="14"/>
              </w:rPr>
              <w:t>Replacement</w:t>
            </w:r>
          </w:p>
        </w:tc>
      </w:tr>
      <w:tr w:rsidR="00A031A6" w14:paraId="7911FB8C" w14:textId="77777777">
        <w:trPr>
          <w:trHeight w:val="57"/>
        </w:trPr>
        <w:tc>
          <w:tcPr>
            <w:tcW w:w="1560" w:type="dxa"/>
            <w:gridSpan w:val="2"/>
            <w:tcBorders>
              <w:top w:val="nil"/>
              <w:left w:val="nil"/>
              <w:bottom w:val="nil"/>
              <w:right w:val="nil"/>
            </w:tcBorders>
            <w:shd w:val="clear" w:color="auto" w:fill="FFFFFF"/>
            <w:vAlign w:val="bottom"/>
          </w:tcPr>
          <w:p w14:paraId="42DBF6B8" w14:textId="77777777"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14:paraId="0B94D148" w14:textId="77777777" w:rsidR="00A031A6" w:rsidRDefault="00916FD0">
            <w:pPr>
              <w:jc w:val="right"/>
              <w:rPr>
                <w:color w:val="000000"/>
                <w:sz w:val="14"/>
                <w:szCs w:val="14"/>
              </w:rPr>
            </w:pPr>
            <w:r>
              <w:rPr>
                <w:color w:val="000000"/>
                <w:sz w:val="14"/>
                <w:szCs w:val="14"/>
              </w:rPr>
              <w:t>13,338,433</w:t>
            </w:r>
          </w:p>
        </w:tc>
        <w:tc>
          <w:tcPr>
            <w:tcW w:w="1043" w:type="dxa"/>
            <w:gridSpan w:val="2"/>
            <w:tcBorders>
              <w:top w:val="nil"/>
              <w:left w:val="nil"/>
              <w:bottom w:val="nil"/>
              <w:right w:val="nil"/>
            </w:tcBorders>
            <w:shd w:val="clear" w:color="auto" w:fill="FFFFFF"/>
            <w:vAlign w:val="bottom"/>
          </w:tcPr>
          <w:p w14:paraId="672D61DD"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14:paraId="531049A7"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32E67ADD" w14:textId="77777777"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14:paraId="4F04390A"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700D1CC8" w14:textId="77777777" w:rsidR="00A031A6" w:rsidRDefault="00916FD0">
            <w:pPr>
              <w:jc w:val="right"/>
              <w:rPr>
                <w:color w:val="000000"/>
                <w:sz w:val="14"/>
                <w:szCs w:val="14"/>
              </w:rPr>
            </w:pPr>
            <w:r>
              <w:rPr>
                <w:color w:val="000000"/>
                <w:sz w:val="14"/>
                <w:szCs w:val="14"/>
              </w:rPr>
              <w:t>13,338,433</w:t>
            </w:r>
          </w:p>
        </w:tc>
        <w:tc>
          <w:tcPr>
            <w:tcW w:w="986" w:type="dxa"/>
            <w:gridSpan w:val="2"/>
            <w:tcBorders>
              <w:top w:val="nil"/>
              <w:left w:val="nil"/>
              <w:bottom w:val="nil"/>
              <w:right w:val="nil"/>
            </w:tcBorders>
            <w:shd w:val="clear" w:color="auto" w:fill="FFFFFF"/>
            <w:vAlign w:val="bottom"/>
          </w:tcPr>
          <w:p w14:paraId="421610EE"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63944011"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496AC290"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1FB6E7DB" w14:textId="77777777" w:rsidR="00A031A6" w:rsidRDefault="00916FD0">
            <w:pPr>
              <w:jc w:val="right"/>
              <w:rPr>
                <w:color w:val="000000"/>
                <w:sz w:val="14"/>
                <w:szCs w:val="14"/>
              </w:rPr>
            </w:pPr>
            <w:r>
              <w:rPr>
                <w:color w:val="000000"/>
                <w:sz w:val="14"/>
                <w:szCs w:val="14"/>
              </w:rPr>
              <w:t>20%</w:t>
            </w:r>
          </w:p>
        </w:tc>
        <w:tc>
          <w:tcPr>
            <w:tcW w:w="1426" w:type="dxa"/>
            <w:gridSpan w:val="2"/>
            <w:tcBorders>
              <w:top w:val="nil"/>
              <w:left w:val="nil"/>
              <w:bottom w:val="nil"/>
              <w:right w:val="nil"/>
            </w:tcBorders>
            <w:shd w:val="clear" w:color="auto" w:fill="FFFFFF"/>
            <w:vAlign w:val="bottom"/>
          </w:tcPr>
          <w:p w14:paraId="46E9725B" w14:textId="77777777" w:rsidR="00A031A6" w:rsidRDefault="00916FD0">
            <w:pPr>
              <w:jc w:val="right"/>
              <w:rPr>
                <w:color w:val="000000"/>
                <w:sz w:val="14"/>
                <w:szCs w:val="14"/>
              </w:rPr>
            </w:pPr>
            <w:r>
              <w:rPr>
                <w:color w:val="000000"/>
                <w:sz w:val="14"/>
                <w:szCs w:val="14"/>
              </w:rPr>
              <w:t>13,338,433</w:t>
            </w:r>
          </w:p>
        </w:tc>
        <w:tc>
          <w:tcPr>
            <w:tcW w:w="1070" w:type="dxa"/>
            <w:tcBorders>
              <w:top w:val="nil"/>
              <w:left w:val="nil"/>
              <w:bottom w:val="nil"/>
              <w:right w:val="nil"/>
            </w:tcBorders>
            <w:shd w:val="clear" w:color="auto" w:fill="FFFFFF"/>
            <w:vAlign w:val="bottom"/>
          </w:tcPr>
          <w:p w14:paraId="04D4F6F0" w14:textId="77777777" w:rsidR="00A031A6" w:rsidRDefault="00916FD0">
            <w:pPr>
              <w:jc w:val="right"/>
              <w:rPr>
                <w:color w:val="000000"/>
                <w:sz w:val="14"/>
                <w:szCs w:val="14"/>
              </w:rPr>
            </w:pPr>
            <w:r>
              <w:rPr>
                <w:color w:val="000000"/>
                <w:sz w:val="14"/>
                <w:szCs w:val="14"/>
              </w:rPr>
              <w:t>0%</w:t>
            </w:r>
          </w:p>
        </w:tc>
      </w:tr>
      <w:tr w:rsidR="00A031A6" w14:paraId="7C135644" w14:textId="77777777">
        <w:trPr>
          <w:trHeight w:val="57"/>
        </w:trPr>
        <w:tc>
          <w:tcPr>
            <w:tcW w:w="1560" w:type="dxa"/>
            <w:gridSpan w:val="2"/>
            <w:tcBorders>
              <w:top w:val="nil"/>
              <w:left w:val="nil"/>
              <w:bottom w:val="nil"/>
              <w:right w:val="nil"/>
            </w:tcBorders>
            <w:shd w:val="clear" w:color="auto" w:fill="FFFFFF"/>
            <w:vAlign w:val="bottom"/>
          </w:tcPr>
          <w:p w14:paraId="41EC2A10" w14:textId="77777777"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14:paraId="1C167990" w14:textId="77777777" w:rsidR="00A031A6" w:rsidRDefault="00916FD0">
            <w:pPr>
              <w:jc w:val="right"/>
              <w:rPr>
                <w:color w:val="000000"/>
                <w:sz w:val="14"/>
                <w:szCs w:val="14"/>
              </w:rPr>
            </w:pPr>
            <w:r>
              <w:rPr>
                <w:color w:val="000000"/>
                <w:sz w:val="14"/>
                <w:szCs w:val="14"/>
              </w:rPr>
              <w:t>19,138,622</w:t>
            </w:r>
          </w:p>
        </w:tc>
        <w:tc>
          <w:tcPr>
            <w:tcW w:w="1043" w:type="dxa"/>
            <w:gridSpan w:val="2"/>
            <w:tcBorders>
              <w:top w:val="nil"/>
              <w:left w:val="nil"/>
              <w:bottom w:val="nil"/>
              <w:right w:val="nil"/>
            </w:tcBorders>
            <w:shd w:val="clear" w:color="auto" w:fill="FFFFFF"/>
            <w:vAlign w:val="bottom"/>
          </w:tcPr>
          <w:p w14:paraId="2542434F" w14:textId="77777777" w:rsidR="00A031A6" w:rsidRDefault="00916FD0">
            <w:pPr>
              <w:jc w:val="right"/>
              <w:rPr>
                <w:color w:val="000000"/>
                <w:sz w:val="14"/>
                <w:szCs w:val="14"/>
              </w:rPr>
            </w:pPr>
            <w:r>
              <w:rPr>
                <w:color w:val="000000"/>
                <w:sz w:val="14"/>
                <w:szCs w:val="14"/>
              </w:rPr>
              <w:t>13,338,433</w:t>
            </w:r>
          </w:p>
        </w:tc>
        <w:tc>
          <w:tcPr>
            <w:tcW w:w="967" w:type="dxa"/>
            <w:gridSpan w:val="2"/>
            <w:tcBorders>
              <w:top w:val="nil"/>
              <w:left w:val="nil"/>
              <w:bottom w:val="nil"/>
              <w:right w:val="nil"/>
            </w:tcBorders>
            <w:shd w:val="clear" w:color="auto" w:fill="FFFFFF"/>
            <w:vAlign w:val="bottom"/>
          </w:tcPr>
          <w:p w14:paraId="7A1CF7CD" w14:textId="77777777" w:rsidR="00A031A6" w:rsidRDefault="00916FD0">
            <w:pPr>
              <w:jc w:val="right"/>
              <w:rPr>
                <w:color w:val="000000"/>
                <w:sz w:val="14"/>
                <w:szCs w:val="14"/>
              </w:rPr>
            </w:pPr>
            <w:r>
              <w:rPr>
                <w:color w:val="000000"/>
                <w:sz w:val="14"/>
                <w:szCs w:val="14"/>
              </w:rPr>
              <w:t>6,689,418</w:t>
            </w:r>
          </w:p>
        </w:tc>
        <w:tc>
          <w:tcPr>
            <w:tcW w:w="1510" w:type="dxa"/>
            <w:gridSpan w:val="2"/>
            <w:tcBorders>
              <w:top w:val="nil"/>
              <w:left w:val="nil"/>
              <w:bottom w:val="nil"/>
              <w:right w:val="nil"/>
            </w:tcBorders>
            <w:shd w:val="clear" w:color="auto" w:fill="FFFFFF"/>
            <w:vAlign w:val="bottom"/>
          </w:tcPr>
          <w:p w14:paraId="445B65F7" w14:textId="77777777" w:rsidR="00A031A6" w:rsidRDefault="00916FD0">
            <w:pPr>
              <w:jc w:val="right"/>
              <w:rPr>
                <w:color w:val="000000"/>
                <w:sz w:val="14"/>
                <w:szCs w:val="14"/>
              </w:rPr>
            </w:pPr>
            <w:r>
              <w:rPr>
                <w:color w:val="000000"/>
                <w:sz w:val="14"/>
                <w:szCs w:val="14"/>
              </w:rPr>
              <w:t>889,229</w:t>
            </w:r>
          </w:p>
        </w:tc>
        <w:tc>
          <w:tcPr>
            <w:tcW w:w="1254" w:type="dxa"/>
            <w:gridSpan w:val="2"/>
            <w:tcBorders>
              <w:top w:val="nil"/>
              <w:left w:val="nil"/>
              <w:bottom w:val="nil"/>
              <w:right w:val="nil"/>
            </w:tcBorders>
            <w:shd w:val="clear" w:color="auto" w:fill="FFFFFF"/>
            <w:vAlign w:val="bottom"/>
          </w:tcPr>
          <w:p w14:paraId="01637D31"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60C666B6" w14:textId="77777777" w:rsidR="00A031A6" w:rsidRDefault="00916FD0">
            <w:pPr>
              <w:jc w:val="right"/>
              <w:rPr>
                <w:color w:val="000000"/>
                <w:sz w:val="14"/>
                <w:szCs w:val="14"/>
              </w:rPr>
            </w:pPr>
            <w:r>
              <w:rPr>
                <w:color w:val="000000"/>
                <w:sz w:val="14"/>
                <w:szCs w:val="14"/>
              </w:rPr>
              <w:t>19,138,622</w:t>
            </w:r>
          </w:p>
        </w:tc>
        <w:tc>
          <w:tcPr>
            <w:tcW w:w="986" w:type="dxa"/>
            <w:gridSpan w:val="2"/>
            <w:tcBorders>
              <w:top w:val="nil"/>
              <w:left w:val="nil"/>
              <w:bottom w:val="nil"/>
              <w:right w:val="nil"/>
            </w:tcBorders>
            <w:shd w:val="clear" w:color="auto" w:fill="FFFFFF"/>
            <w:vAlign w:val="bottom"/>
          </w:tcPr>
          <w:p w14:paraId="365F50E0"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01AE70E1"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1C2D1080"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07DED127" w14:textId="77777777" w:rsidR="00A031A6" w:rsidRDefault="00916FD0">
            <w:pPr>
              <w:jc w:val="right"/>
              <w:rPr>
                <w:color w:val="000000"/>
                <w:sz w:val="14"/>
                <w:szCs w:val="14"/>
              </w:rPr>
            </w:pPr>
            <w:r>
              <w:rPr>
                <w:color w:val="000000"/>
                <w:sz w:val="14"/>
                <w:szCs w:val="14"/>
              </w:rPr>
              <w:t>28%</w:t>
            </w:r>
          </w:p>
        </w:tc>
        <w:tc>
          <w:tcPr>
            <w:tcW w:w="1426" w:type="dxa"/>
            <w:gridSpan w:val="2"/>
            <w:tcBorders>
              <w:top w:val="nil"/>
              <w:left w:val="nil"/>
              <w:bottom w:val="nil"/>
              <w:right w:val="nil"/>
            </w:tcBorders>
            <w:shd w:val="clear" w:color="auto" w:fill="FFFFFF"/>
            <w:vAlign w:val="bottom"/>
          </w:tcPr>
          <w:p w14:paraId="0A0A76B3" w14:textId="77777777" w:rsidR="00A031A6" w:rsidRDefault="00916FD0">
            <w:pPr>
              <w:jc w:val="right"/>
              <w:rPr>
                <w:color w:val="000000"/>
                <w:sz w:val="14"/>
                <w:szCs w:val="14"/>
              </w:rPr>
            </w:pPr>
            <w:r>
              <w:rPr>
                <w:color w:val="000000"/>
                <w:sz w:val="14"/>
                <w:szCs w:val="14"/>
              </w:rPr>
              <w:t>19,138,622</w:t>
            </w:r>
          </w:p>
        </w:tc>
        <w:tc>
          <w:tcPr>
            <w:tcW w:w="1070" w:type="dxa"/>
            <w:tcBorders>
              <w:top w:val="nil"/>
              <w:left w:val="nil"/>
              <w:bottom w:val="nil"/>
              <w:right w:val="nil"/>
            </w:tcBorders>
            <w:shd w:val="clear" w:color="auto" w:fill="FFFFFF"/>
            <w:vAlign w:val="bottom"/>
          </w:tcPr>
          <w:p w14:paraId="4E7866FA" w14:textId="77777777" w:rsidR="00A031A6" w:rsidRDefault="00916FD0">
            <w:pPr>
              <w:jc w:val="right"/>
              <w:rPr>
                <w:color w:val="000000"/>
                <w:sz w:val="14"/>
                <w:szCs w:val="14"/>
              </w:rPr>
            </w:pPr>
            <w:r>
              <w:rPr>
                <w:color w:val="000000"/>
                <w:sz w:val="14"/>
                <w:szCs w:val="14"/>
              </w:rPr>
              <w:t>0%</w:t>
            </w:r>
          </w:p>
        </w:tc>
      </w:tr>
      <w:tr w:rsidR="00A031A6" w14:paraId="491E7690" w14:textId="77777777">
        <w:trPr>
          <w:trHeight w:val="57"/>
        </w:trPr>
        <w:tc>
          <w:tcPr>
            <w:tcW w:w="1560" w:type="dxa"/>
            <w:gridSpan w:val="2"/>
            <w:tcBorders>
              <w:top w:val="nil"/>
              <w:left w:val="nil"/>
              <w:bottom w:val="nil"/>
              <w:right w:val="nil"/>
            </w:tcBorders>
            <w:shd w:val="clear" w:color="auto" w:fill="FFFFFF"/>
            <w:vAlign w:val="bottom"/>
          </w:tcPr>
          <w:p w14:paraId="0CE1598E" w14:textId="77777777"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14:paraId="3C3550F6" w14:textId="77777777" w:rsidR="00A031A6" w:rsidRDefault="00916FD0">
            <w:pPr>
              <w:jc w:val="right"/>
              <w:rPr>
                <w:color w:val="000000"/>
                <w:sz w:val="14"/>
                <w:szCs w:val="14"/>
              </w:rPr>
            </w:pPr>
            <w:r>
              <w:rPr>
                <w:color w:val="000000"/>
                <w:sz w:val="14"/>
                <w:szCs w:val="14"/>
              </w:rPr>
              <w:t>25,253,231</w:t>
            </w:r>
          </w:p>
        </w:tc>
        <w:tc>
          <w:tcPr>
            <w:tcW w:w="1043" w:type="dxa"/>
            <w:gridSpan w:val="2"/>
            <w:tcBorders>
              <w:top w:val="nil"/>
              <w:left w:val="nil"/>
              <w:bottom w:val="nil"/>
              <w:right w:val="nil"/>
            </w:tcBorders>
            <w:shd w:val="clear" w:color="auto" w:fill="FFFFFF"/>
            <w:vAlign w:val="bottom"/>
          </w:tcPr>
          <w:p w14:paraId="646FC5EE" w14:textId="77777777" w:rsidR="00A031A6" w:rsidRDefault="00916FD0">
            <w:pPr>
              <w:jc w:val="right"/>
              <w:rPr>
                <w:color w:val="000000"/>
                <w:sz w:val="14"/>
                <w:szCs w:val="14"/>
              </w:rPr>
            </w:pPr>
            <w:r>
              <w:rPr>
                <w:color w:val="000000"/>
                <w:sz w:val="14"/>
                <w:szCs w:val="14"/>
              </w:rPr>
              <w:t>19,138,622</w:t>
            </w:r>
          </w:p>
        </w:tc>
        <w:tc>
          <w:tcPr>
            <w:tcW w:w="967" w:type="dxa"/>
            <w:gridSpan w:val="2"/>
            <w:tcBorders>
              <w:top w:val="nil"/>
              <w:left w:val="nil"/>
              <w:bottom w:val="nil"/>
              <w:right w:val="nil"/>
            </w:tcBorders>
            <w:shd w:val="clear" w:color="auto" w:fill="FFFFFF"/>
            <w:vAlign w:val="bottom"/>
          </w:tcPr>
          <w:p w14:paraId="2F093020" w14:textId="77777777" w:rsidR="00A031A6" w:rsidRDefault="00916FD0">
            <w:pPr>
              <w:jc w:val="right"/>
              <w:rPr>
                <w:color w:val="000000"/>
                <w:sz w:val="14"/>
                <w:szCs w:val="14"/>
              </w:rPr>
            </w:pPr>
            <w:r>
              <w:rPr>
                <w:color w:val="000000"/>
                <w:sz w:val="14"/>
                <w:szCs w:val="14"/>
              </w:rPr>
              <w:t>7,390,517</w:t>
            </w:r>
          </w:p>
        </w:tc>
        <w:tc>
          <w:tcPr>
            <w:tcW w:w="1510" w:type="dxa"/>
            <w:gridSpan w:val="2"/>
            <w:tcBorders>
              <w:top w:val="nil"/>
              <w:left w:val="nil"/>
              <w:bottom w:val="nil"/>
              <w:right w:val="nil"/>
            </w:tcBorders>
            <w:shd w:val="clear" w:color="auto" w:fill="FFFFFF"/>
            <w:vAlign w:val="bottom"/>
          </w:tcPr>
          <w:p w14:paraId="0E880E59" w14:textId="77777777" w:rsidR="00A031A6" w:rsidRDefault="00916FD0">
            <w:pPr>
              <w:jc w:val="right"/>
              <w:rPr>
                <w:color w:val="000000"/>
                <w:sz w:val="14"/>
                <w:szCs w:val="14"/>
              </w:rPr>
            </w:pPr>
            <w:r>
              <w:rPr>
                <w:color w:val="000000"/>
                <w:sz w:val="14"/>
                <w:szCs w:val="14"/>
              </w:rPr>
              <w:t>1,275,908</w:t>
            </w:r>
          </w:p>
        </w:tc>
        <w:tc>
          <w:tcPr>
            <w:tcW w:w="1254" w:type="dxa"/>
            <w:gridSpan w:val="2"/>
            <w:tcBorders>
              <w:top w:val="nil"/>
              <w:left w:val="nil"/>
              <w:bottom w:val="nil"/>
              <w:right w:val="nil"/>
            </w:tcBorders>
            <w:shd w:val="clear" w:color="auto" w:fill="FFFFFF"/>
            <w:vAlign w:val="bottom"/>
          </w:tcPr>
          <w:p w14:paraId="149B3431"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212DF6B2" w14:textId="77777777" w:rsidR="00A031A6" w:rsidRDefault="00916FD0">
            <w:pPr>
              <w:jc w:val="right"/>
              <w:rPr>
                <w:color w:val="000000"/>
                <w:sz w:val="14"/>
                <w:szCs w:val="14"/>
              </w:rPr>
            </w:pPr>
            <w:r>
              <w:rPr>
                <w:color w:val="000000"/>
                <w:sz w:val="14"/>
                <w:szCs w:val="14"/>
              </w:rPr>
              <w:t>25,253,231</w:t>
            </w:r>
          </w:p>
        </w:tc>
        <w:tc>
          <w:tcPr>
            <w:tcW w:w="986" w:type="dxa"/>
            <w:gridSpan w:val="2"/>
            <w:tcBorders>
              <w:top w:val="nil"/>
              <w:left w:val="nil"/>
              <w:bottom w:val="nil"/>
              <w:right w:val="nil"/>
            </w:tcBorders>
            <w:shd w:val="clear" w:color="auto" w:fill="FFFFFF"/>
            <w:vAlign w:val="bottom"/>
          </w:tcPr>
          <w:p w14:paraId="7B5DDBA9"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5AC0C9CB"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310A6410"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76AD8231" w14:textId="77777777" w:rsidR="00A031A6" w:rsidRDefault="00916FD0">
            <w:pPr>
              <w:jc w:val="right"/>
              <w:rPr>
                <w:color w:val="000000"/>
                <w:sz w:val="14"/>
                <w:szCs w:val="14"/>
              </w:rPr>
            </w:pPr>
            <w:r>
              <w:rPr>
                <w:color w:val="000000"/>
                <w:sz w:val="14"/>
                <w:szCs w:val="14"/>
              </w:rPr>
              <w:t>36%</w:t>
            </w:r>
          </w:p>
        </w:tc>
        <w:tc>
          <w:tcPr>
            <w:tcW w:w="1426" w:type="dxa"/>
            <w:gridSpan w:val="2"/>
            <w:tcBorders>
              <w:top w:val="nil"/>
              <w:left w:val="nil"/>
              <w:bottom w:val="nil"/>
              <w:right w:val="nil"/>
            </w:tcBorders>
            <w:shd w:val="clear" w:color="auto" w:fill="FFFFFF"/>
            <w:vAlign w:val="bottom"/>
          </w:tcPr>
          <w:p w14:paraId="79687D78" w14:textId="77777777" w:rsidR="00A031A6" w:rsidRDefault="00916FD0">
            <w:pPr>
              <w:jc w:val="right"/>
              <w:rPr>
                <w:color w:val="000000"/>
                <w:sz w:val="14"/>
                <w:szCs w:val="14"/>
              </w:rPr>
            </w:pPr>
            <w:r>
              <w:rPr>
                <w:color w:val="000000"/>
                <w:sz w:val="14"/>
                <w:szCs w:val="14"/>
              </w:rPr>
              <w:t>25,253,231</w:t>
            </w:r>
          </w:p>
        </w:tc>
        <w:tc>
          <w:tcPr>
            <w:tcW w:w="1070" w:type="dxa"/>
            <w:tcBorders>
              <w:top w:val="nil"/>
              <w:left w:val="nil"/>
              <w:bottom w:val="nil"/>
              <w:right w:val="nil"/>
            </w:tcBorders>
            <w:shd w:val="clear" w:color="auto" w:fill="FFFFFF"/>
            <w:vAlign w:val="bottom"/>
          </w:tcPr>
          <w:p w14:paraId="38A2658C" w14:textId="77777777" w:rsidR="00A031A6" w:rsidRDefault="00916FD0">
            <w:pPr>
              <w:jc w:val="right"/>
              <w:rPr>
                <w:color w:val="000000"/>
                <w:sz w:val="14"/>
                <w:szCs w:val="14"/>
              </w:rPr>
            </w:pPr>
            <w:r>
              <w:rPr>
                <w:color w:val="000000"/>
                <w:sz w:val="14"/>
                <w:szCs w:val="14"/>
              </w:rPr>
              <w:t>0%</w:t>
            </w:r>
          </w:p>
        </w:tc>
      </w:tr>
      <w:tr w:rsidR="00A031A6" w14:paraId="4F193494" w14:textId="77777777">
        <w:trPr>
          <w:trHeight w:val="57"/>
        </w:trPr>
        <w:tc>
          <w:tcPr>
            <w:tcW w:w="1560" w:type="dxa"/>
            <w:gridSpan w:val="2"/>
            <w:tcBorders>
              <w:top w:val="nil"/>
              <w:left w:val="nil"/>
              <w:bottom w:val="nil"/>
              <w:right w:val="nil"/>
            </w:tcBorders>
            <w:shd w:val="clear" w:color="auto" w:fill="FFFFFF"/>
            <w:vAlign w:val="bottom"/>
          </w:tcPr>
          <w:p w14:paraId="30B74FD3" w14:textId="77777777"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14:paraId="037E1F82" w14:textId="77777777" w:rsidR="00A031A6" w:rsidRDefault="00916FD0">
            <w:pPr>
              <w:jc w:val="right"/>
              <w:rPr>
                <w:color w:val="000000"/>
                <w:sz w:val="14"/>
                <w:szCs w:val="14"/>
              </w:rPr>
            </w:pPr>
            <w:r>
              <w:rPr>
                <w:color w:val="000000"/>
                <w:sz w:val="14"/>
                <w:szCs w:val="14"/>
              </w:rPr>
              <w:t>31,734,778</w:t>
            </w:r>
          </w:p>
        </w:tc>
        <w:tc>
          <w:tcPr>
            <w:tcW w:w="1043" w:type="dxa"/>
            <w:gridSpan w:val="2"/>
            <w:tcBorders>
              <w:top w:val="nil"/>
              <w:left w:val="nil"/>
              <w:bottom w:val="nil"/>
              <w:right w:val="nil"/>
            </w:tcBorders>
            <w:shd w:val="clear" w:color="auto" w:fill="FFFFFF"/>
            <w:vAlign w:val="bottom"/>
          </w:tcPr>
          <w:p w14:paraId="188B6724" w14:textId="77777777" w:rsidR="00A031A6" w:rsidRDefault="00916FD0">
            <w:pPr>
              <w:jc w:val="right"/>
              <w:rPr>
                <w:color w:val="000000"/>
                <w:sz w:val="14"/>
                <w:szCs w:val="14"/>
              </w:rPr>
            </w:pPr>
            <w:r>
              <w:rPr>
                <w:color w:val="000000"/>
                <w:sz w:val="14"/>
                <w:szCs w:val="14"/>
              </w:rPr>
              <w:t>25,253,231</w:t>
            </w:r>
          </w:p>
        </w:tc>
        <w:tc>
          <w:tcPr>
            <w:tcW w:w="967" w:type="dxa"/>
            <w:gridSpan w:val="2"/>
            <w:tcBorders>
              <w:top w:val="nil"/>
              <w:left w:val="nil"/>
              <w:bottom w:val="nil"/>
              <w:right w:val="nil"/>
            </w:tcBorders>
            <w:shd w:val="clear" w:color="auto" w:fill="FFFFFF"/>
            <w:vAlign w:val="bottom"/>
          </w:tcPr>
          <w:p w14:paraId="37008A4C" w14:textId="77777777" w:rsidR="00A031A6" w:rsidRDefault="00916FD0">
            <w:pPr>
              <w:jc w:val="right"/>
              <w:rPr>
                <w:color w:val="000000"/>
                <w:sz w:val="14"/>
                <w:szCs w:val="14"/>
              </w:rPr>
            </w:pPr>
            <w:r>
              <w:rPr>
                <w:color w:val="000000"/>
                <w:sz w:val="14"/>
                <w:szCs w:val="14"/>
              </w:rPr>
              <w:t>8,165,096</w:t>
            </w:r>
          </w:p>
        </w:tc>
        <w:tc>
          <w:tcPr>
            <w:tcW w:w="1510" w:type="dxa"/>
            <w:gridSpan w:val="2"/>
            <w:tcBorders>
              <w:top w:val="nil"/>
              <w:left w:val="nil"/>
              <w:bottom w:val="nil"/>
              <w:right w:val="nil"/>
            </w:tcBorders>
            <w:shd w:val="clear" w:color="auto" w:fill="FFFFFF"/>
            <w:vAlign w:val="bottom"/>
          </w:tcPr>
          <w:p w14:paraId="2AC6649F" w14:textId="77777777" w:rsidR="00A031A6" w:rsidRDefault="00916FD0">
            <w:pPr>
              <w:jc w:val="right"/>
              <w:rPr>
                <w:color w:val="000000"/>
                <w:sz w:val="14"/>
                <w:szCs w:val="14"/>
              </w:rPr>
            </w:pPr>
            <w:r>
              <w:rPr>
                <w:color w:val="000000"/>
                <w:sz w:val="14"/>
                <w:szCs w:val="14"/>
              </w:rPr>
              <w:t>1,683,549</w:t>
            </w:r>
          </w:p>
        </w:tc>
        <w:tc>
          <w:tcPr>
            <w:tcW w:w="1254" w:type="dxa"/>
            <w:gridSpan w:val="2"/>
            <w:tcBorders>
              <w:top w:val="nil"/>
              <w:left w:val="nil"/>
              <w:bottom w:val="nil"/>
              <w:right w:val="nil"/>
            </w:tcBorders>
            <w:shd w:val="clear" w:color="auto" w:fill="FFFFFF"/>
            <w:vAlign w:val="bottom"/>
          </w:tcPr>
          <w:p w14:paraId="180EE787"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0ED4EFA0" w14:textId="77777777" w:rsidR="00A031A6" w:rsidRDefault="00916FD0">
            <w:pPr>
              <w:jc w:val="right"/>
              <w:rPr>
                <w:color w:val="000000"/>
                <w:sz w:val="14"/>
                <w:szCs w:val="14"/>
              </w:rPr>
            </w:pPr>
            <w:r>
              <w:rPr>
                <w:color w:val="000000"/>
                <w:sz w:val="14"/>
                <w:szCs w:val="14"/>
              </w:rPr>
              <w:t>31,734,778</w:t>
            </w:r>
          </w:p>
        </w:tc>
        <w:tc>
          <w:tcPr>
            <w:tcW w:w="986" w:type="dxa"/>
            <w:gridSpan w:val="2"/>
            <w:tcBorders>
              <w:top w:val="nil"/>
              <w:left w:val="nil"/>
              <w:bottom w:val="nil"/>
              <w:right w:val="nil"/>
            </w:tcBorders>
            <w:shd w:val="clear" w:color="auto" w:fill="FFFFFF"/>
            <w:vAlign w:val="bottom"/>
          </w:tcPr>
          <w:p w14:paraId="19F98ED7"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15E98D0C"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3BD4CF04"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6E169522" w14:textId="77777777" w:rsidR="00A031A6" w:rsidRDefault="00916FD0">
            <w:pPr>
              <w:jc w:val="right"/>
              <w:rPr>
                <w:color w:val="000000"/>
                <w:sz w:val="14"/>
                <w:szCs w:val="14"/>
              </w:rPr>
            </w:pPr>
            <w:r>
              <w:rPr>
                <w:color w:val="000000"/>
                <w:sz w:val="14"/>
                <w:szCs w:val="14"/>
              </w:rPr>
              <w:t>45%</w:t>
            </w:r>
          </w:p>
        </w:tc>
        <w:tc>
          <w:tcPr>
            <w:tcW w:w="1426" w:type="dxa"/>
            <w:gridSpan w:val="2"/>
            <w:tcBorders>
              <w:top w:val="nil"/>
              <w:left w:val="nil"/>
              <w:bottom w:val="nil"/>
              <w:right w:val="nil"/>
            </w:tcBorders>
            <w:shd w:val="clear" w:color="auto" w:fill="FFFFFF"/>
            <w:vAlign w:val="bottom"/>
          </w:tcPr>
          <w:p w14:paraId="73641A88" w14:textId="77777777" w:rsidR="00A031A6" w:rsidRDefault="00916FD0">
            <w:pPr>
              <w:jc w:val="right"/>
              <w:rPr>
                <w:color w:val="000000"/>
                <w:sz w:val="14"/>
                <w:szCs w:val="14"/>
              </w:rPr>
            </w:pPr>
            <w:r>
              <w:rPr>
                <w:color w:val="000000"/>
                <w:sz w:val="14"/>
                <w:szCs w:val="14"/>
              </w:rPr>
              <w:t>31,734,778</w:t>
            </w:r>
          </w:p>
        </w:tc>
        <w:tc>
          <w:tcPr>
            <w:tcW w:w="1070" w:type="dxa"/>
            <w:tcBorders>
              <w:top w:val="nil"/>
              <w:left w:val="nil"/>
              <w:bottom w:val="nil"/>
              <w:right w:val="nil"/>
            </w:tcBorders>
            <w:shd w:val="clear" w:color="auto" w:fill="FFFFFF"/>
            <w:vAlign w:val="bottom"/>
          </w:tcPr>
          <w:p w14:paraId="625AC3DF" w14:textId="77777777" w:rsidR="00A031A6" w:rsidRDefault="00916FD0">
            <w:pPr>
              <w:jc w:val="right"/>
              <w:rPr>
                <w:color w:val="000000"/>
                <w:sz w:val="14"/>
                <w:szCs w:val="14"/>
              </w:rPr>
            </w:pPr>
            <w:r>
              <w:rPr>
                <w:color w:val="000000"/>
                <w:sz w:val="14"/>
                <w:szCs w:val="14"/>
              </w:rPr>
              <w:t>0%</w:t>
            </w:r>
          </w:p>
        </w:tc>
      </w:tr>
      <w:tr w:rsidR="00A031A6" w14:paraId="3F34ED0A" w14:textId="77777777">
        <w:trPr>
          <w:trHeight w:val="57"/>
        </w:trPr>
        <w:tc>
          <w:tcPr>
            <w:tcW w:w="1560" w:type="dxa"/>
            <w:gridSpan w:val="2"/>
            <w:tcBorders>
              <w:top w:val="nil"/>
              <w:left w:val="nil"/>
              <w:bottom w:val="nil"/>
              <w:right w:val="nil"/>
            </w:tcBorders>
            <w:shd w:val="clear" w:color="auto" w:fill="FFFFFF"/>
            <w:vAlign w:val="bottom"/>
          </w:tcPr>
          <w:p w14:paraId="1502E131" w14:textId="77777777"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14:paraId="2A85DCF5" w14:textId="77777777" w:rsidR="00A031A6" w:rsidRDefault="00916FD0">
            <w:pPr>
              <w:jc w:val="right"/>
              <w:rPr>
                <w:color w:val="000000"/>
                <w:sz w:val="14"/>
                <w:szCs w:val="14"/>
              </w:rPr>
            </w:pPr>
            <w:r>
              <w:rPr>
                <w:color w:val="000000"/>
                <w:sz w:val="14"/>
                <w:szCs w:val="14"/>
              </w:rPr>
              <w:t>38,639,983</w:t>
            </w:r>
          </w:p>
        </w:tc>
        <w:tc>
          <w:tcPr>
            <w:tcW w:w="1043" w:type="dxa"/>
            <w:gridSpan w:val="2"/>
            <w:tcBorders>
              <w:top w:val="nil"/>
              <w:left w:val="nil"/>
              <w:bottom w:val="nil"/>
              <w:right w:val="nil"/>
            </w:tcBorders>
            <w:shd w:val="clear" w:color="auto" w:fill="FFFFFF"/>
            <w:vAlign w:val="bottom"/>
          </w:tcPr>
          <w:p w14:paraId="6C7A79C5" w14:textId="77777777" w:rsidR="00A031A6" w:rsidRDefault="00916FD0">
            <w:pPr>
              <w:jc w:val="right"/>
              <w:rPr>
                <w:color w:val="000000"/>
                <w:sz w:val="14"/>
                <w:szCs w:val="14"/>
              </w:rPr>
            </w:pPr>
            <w:r>
              <w:rPr>
                <w:color w:val="000000"/>
                <w:sz w:val="14"/>
                <w:szCs w:val="14"/>
              </w:rPr>
              <w:t>31,734,778</w:t>
            </w:r>
          </w:p>
        </w:tc>
        <w:tc>
          <w:tcPr>
            <w:tcW w:w="967" w:type="dxa"/>
            <w:gridSpan w:val="2"/>
            <w:tcBorders>
              <w:top w:val="nil"/>
              <w:left w:val="nil"/>
              <w:bottom w:val="nil"/>
              <w:right w:val="nil"/>
            </w:tcBorders>
            <w:shd w:val="clear" w:color="auto" w:fill="FFFFFF"/>
            <w:vAlign w:val="bottom"/>
          </w:tcPr>
          <w:p w14:paraId="319E6172" w14:textId="77777777" w:rsidR="00A031A6" w:rsidRDefault="00916FD0">
            <w:pPr>
              <w:jc w:val="right"/>
              <w:rPr>
                <w:color w:val="000000"/>
                <w:sz w:val="14"/>
                <w:szCs w:val="14"/>
              </w:rPr>
            </w:pPr>
            <w:r>
              <w:rPr>
                <w:color w:val="000000"/>
                <w:sz w:val="14"/>
                <w:szCs w:val="14"/>
              </w:rPr>
              <w:t>9,020,856</w:t>
            </w:r>
          </w:p>
        </w:tc>
        <w:tc>
          <w:tcPr>
            <w:tcW w:w="1510" w:type="dxa"/>
            <w:gridSpan w:val="2"/>
            <w:tcBorders>
              <w:top w:val="nil"/>
              <w:left w:val="nil"/>
              <w:bottom w:val="nil"/>
              <w:right w:val="nil"/>
            </w:tcBorders>
            <w:shd w:val="clear" w:color="auto" w:fill="FFFFFF"/>
            <w:vAlign w:val="bottom"/>
          </w:tcPr>
          <w:p w14:paraId="240D1507" w14:textId="77777777" w:rsidR="00A031A6" w:rsidRDefault="00916FD0">
            <w:pPr>
              <w:jc w:val="right"/>
              <w:rPr>
                <w:color w:val="000000"/>
                <w:sz w:val="14"/>
                <w:szCs w:val="14"/>
              </w:rPr>
            </w:pPr>
            <w:r>
              <w:rPr>
                <w:color w:val="000000"/>
                <w:sz w:val="14"/>
                <w:szCs w:val="14"/>
              </w:rPr>
              <w:t>2,115,652</w:t>
            </w:r>
          </w:p>
        </w:tc>
        <w:tc>
          <w:tcPr>
            <w:tcW w:w="1254" w:type="dxa"/>
            <w:gridSpan w:val="2"/>
            <w:tcBorders>
              <w:top w:val="nil"/>
              <w:left w:val="nil"/>
              <w:bottom w:val="nil"/>
              <w:right w:val="nil"/>
            </w:tcBorders>
            <w:shd w:val="clear" w:color="auto" w:fill="FFFFFF"/>
            <w:vAlign w:val="bottom"/>
          </w:tcPr>
          <w:p w14:paraId="24EC7361"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1E130ECE" w14:textId="77777777" w:rsidR="00A031A6" w:rsidRDefault="00916FD0">
            <w:pPr>
              <w:jc w:val="right"/>
              <w:rPr>
                <w:color w:val="000000"/>
                <w:sz w:val="14"/>
                <w:szCs w:val="14"/>
              </w:rPr>
            </w:pPr>
            <w:r>
              <w:rPr>
                <w:color w:val="000000"/>
                <w:sz w:val="14"/>
                <w:szCs w:val="14"/>
              </w:rPr>
              <w:t>29,619,127</w:t>
            </w:r>
          </w:p>
        </w:tc>
        <w:tc>
          <w:tcPr>
            <w:tcW w:w="986" w:type="dxa"/>
            <w:gridSpan w:val="2"/>
            <w:tcBorders>
              <w:top w:val="nil"/>
              <w:left w:val="nil"/>
              <w:bottom w:val="nil"/>
              <w:right w:val="nil"/>
            </w:tcBorders>
            <w:shd w:val="clear" w:color="auto" w:fill="FFFFFF"/>
            <w:vAlign w:val="bottom"/>
          </w:tcPr>
          <w:p w14:paraId="5C2BC203" w14:textId="77777777" w:rsidR="00A031A6" w:rsidRDefault="00916FD0">
            <w:pPr>
              <w:jc w:val="right"/>
              <w:rPr>
                <w:color w:val="000000"/>
                <w:sz w:val="14"/>
                <w:szCs w:val="14"/>
              </w:rPr>
            </w:pPr>
            <w:r>
              <w:rPr>
                <w:color w:val="000000"/>
                <w:sz w:val="14"/>
                <w:szCs w:val="14"/>
              </w:rPr>
              <w:t>77%</w:t>
            </w:r>
          </w:p>
        </w:tc>
        <w:tc>
          <w:tcPr>
            <w:tcW w:w="1214" w:type="dxa"/>
            <w:gridSpan w:val="2"/>
            <w:tcBorders>
              <w:top w:val="nil"/>
              <w:left w:val="nil"/>
              <w:bottom w:val="nil"/>
              <w:right w:val="nil"/>
            </w:tcBorders>
            <w:shd w:val="clear" w:color="auto" w:fill="FFFFFF"/>
            <w:vAlign w:val="bottom"/>
          </w:tcPr>
          <w:p w14:paraId="15BECA61" w14:textId="77777777" w:rsidR="00A031A6" w:rsidRDefault="00916FD0">
            <w:pPr>
              <w:jc w:val="right"/>
              <w:rPr>
                <w:color w:val="000000"/>
                <w:sz w:val="14"/>
                <w:szCs w:val="14"/>
              </w:rPr>
            </w:pPr>
            <w:r>
              <w:rPr>
                <w:color w:val="000000"/>
                <w:sz w:val="14"/>
                <w:szCs w:val="14"/>
              </w:rPr>
              <w:t>9,020,856</w:t>
            </w:r>
          </w:p>
        </w:tc>
        <w:tc>
          <w:tcPr>
            <w:tcW w:w="1216" w:type="dxa"/>
            <w:gridSpan w:val="2"/>
            <w:tcBorders>
              <w:top w:val="nil"/>
              <w:left w:val="nil"/>
              <w:bottom w:val="nil"/>
              <w:right w:val="nil"/>
            </w:tcBorders>
            <w:shd w:val="clear" w:color="auto" w:fill="FFFFFF"/>
            <w:vAlign w:val="bottom"/>
          </w:tcPr>
          <w:p w14:paraId="5366A42F" w14:textId="77777777" w:rsidR="00A031A6" w:rsidRDefault="00916FD0">
            <w:pPr>
              <w:jc w:val="right"/>
              <w:rPr>
                <w:color w:val="000000"/>
                <w:sz w:val="14"/>
                <w:szCs w:val="14"/>
              </w:rPr>
            </w:pPr>
            <w:r>
              <w:rPr>
                <w:color w:val="000000"/>
                <w:sz w:val="14"/>
                <w:szCs w:val="14"/>
              </w:rPr>
              <w:t>23%</w:t>
            </w:r>
          </w:p>
        </w:tc>
        <w:tc>
          <w:tcPr>
            <w:tcW w:w="988" w:type="dxa"/>
            <w:gridSpan w:val="2"/>
            <w:tcBorders>
              <w:top w:val="nil"/>
              <w:left w:val="nil"/>
              <w:bottom w:val="nil"/>
              <w:right w:val="nil"/>
            </w:tcBorders>
            <w:shd w:val="clear" w:color="auto" w:fill="FFFFFF"/>
            <w:vAlign w:val="bottom"/>
          </w:tcPr>
          <w:p w14:paraId="23B57AB7" w14:textId="77777777" w:rsidR="00A031A6" w:rsidRDefault="00916FD0">
            <w:pPr>
              <w:jc w:val="right"/>
              <w:rPr>
                <w:color w:val="000000"/>
                <w:sz w:val="14"/>
                <w:szCs w:val="14"/>
              </w:rPr>
            </w:pPr>
            <w:r>
              <w:rPr>
                <w:color w:val="000000"/>
                <w:sz w:val="14"/>
                <w:szCs w:val="14"/>
              </w:rPr>
              <w:t>55%</w:t>
            </w:r>
          </w:p>
        </w:tc>
        <w:tc>
          <w:tcPr>
            <w:tcW w:w="1426" w:type="dxa"/>
            <w:gridSpan w:val="2"/>
            <w:tcBorders>
              <w:top w:val="nil"/>
              <w:left w:val="nil"/>
              <w:bottom w:val="nil"/>
              <w:right w:val="nil"/>
            </w:tcBorders>
            <w:shd w:val="clear" w:color="auto" w:fill="FFFFFF"/>
            <w:vAlign w:val="bottom"/>
          </w:tcPr>
          <w:p w14:paraId="04317794" w14:textId="77777777" w:rsidR="00A031A6" w:rsidRDefault="00916FD0">
            <w:pPr>
              <w:jc w:val="right"/>
              <w:rPr>
                <w:color w:val="000000"/>
                <w:sz w:val="14"/>
                <w:szCs w:val="14"/>
              </w:rPr>
            </w:pPr>
            <w:r>
              <w:rPr>
                <w:color w:val="000000"/>
                <w:sz w:val="14"/>
                <w:szCs w:val="14"/>
              </w:rPr>
              <w:t>38,639,983</w:t>
            </w:r>
          </w:p>
        </w:tc>
        <w:tc>
          <w:tcPr>
            <w:tcW w:w="1070" w:type="dxa"/>
            <w:tcBorders>
              <w:top w:val="nil"/>
              <w:left w:val="nil"/>
              <w:bottom w:val="nil"/>
              <w:right w:val="nil"/>
            </w:tcBorders>
            <w:shd w:val="clear" w:color="auto" w:fill="FFFFFF"/>
            <w:vAlign w:val="bottom"/>
          </w:tcPr>
          <w:p w14:paraId="78C52BF9" w14:textId="77777777" w:rsidR="00A031A6" w:rsidRDefault="00916FD0">
            <w:pPr>
              <w:jc w:val="right"/>
              <w:rPr>
                <w:color w:val="000000"/>
                <w:sz w:val="14"/>
                <w:szCs w:val="14"/>
              </w:rPr>
            </w:pPr>
            <w:r>
              <w:rPr>
                <w:color w:val="000000"/>
                <w:sz w:val="14"/>
                <w:szCs w:val="14"/>
              </w:rPr>
              <w:t>0%</w:t>
            </w:r>
          </w:p>
        </w:tc>
      </w:tr>
      <w:tr w:rsidR="00A031A6" w14:paraId="59AA10C8" w14:textId="77777777">
        <w:trPr>
          <w:trHeight w:val="57"/>
        </w:trPr>
        <w:tc>
          <w:tcPr>
            <w:tcW w:w="1560" w:type="dxa"/>
            <w:gridSpan w:val="2"/>
            <w:tcBorders>
              <w:top w:val="nil"/>
              <w:left w:val="nil"/>
              <w:bottom w:val="nil"/>
              <w:right w:val="nil"/>
            </w:tcBorders>
            <w:shd w:val="clear" w:color="auto" w:fill="FFFFFF"/>
            <w:vAlign w:val="bottom"/>
          </w:tcPr>
          <w:p w14:paraId="6C765C97" w14:textId="77777777"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14:paraId="13CB0365" w14:textId="77777777" w:rsidR="00A031A6" w:rsidRDefault="00916FD0">
            <w:pPr>
              <w:jc w:val="right"/>
              <w:rPr>
                <w:color w:val="000000"/>
                <w:sz w:val="14"/>
                <w:szCs w:val="14"/>
              </w:rPr>
            </w:pPr>
            <w:r>
              <w:rPr>
                <w:color w:val="000000"/>
                <w:sz w:val="14"/>
                <w:szCs w:val="14"/>
              </w:rPr>
              <w:t>46,030,290</w:t>
            </w:r>
          </w:p>
        </w:tc>
        <w:tc>
          <w:tcPr>
            <w:tcW w:w="1043" w:type="dxa"/>
            <w:gridSpan w:val="2"/>
            <w:tcBorders>
              <w:top w:val="nil"/>
              <w:left w:val="nil"/>
              <w:bottom w:val="nil"/>
              <w:right w:val="nil"/>
            </w:tcBorders>
            <w:shd w:val="clear" w:color="auto" w:fill="FFFFFF"/>
            <w:vAlign w:val="bottom"/>
          </w:tcPr>
          <w:p w14:paraId="6E4DFAF4" w14:textId="77777777" w:rsidR="00A031A6" w:rsidRDefault="00916FD0">
            <w:pPr>
              <w:jc w:val="right"/>
              <w:rPr>
                <w:color w:val="000000"/>
                <w:sz w:val="14"/>
                <w:szCs w:val="14"/>
              </w:rPr>
            </w:pPr>
            <w:r>
              <w:rPr>
                <w:color w:val="000000"/>
                <w:sz w:val="14"/>
                <w:szCs w:val="14"/>
              </w:rPr>
              <w:t>38,639,983</w:t>
            </w:r>
          </w:p>
        </w:tc>
        <w:tc>
          <w:tcPr>
            <w:tcW w:w="967" w:type="dxa"/>
            <w:gridSpan w:val="2"/>
            <w:tcBorders>
              <w:top w:val="nil"/>
              <w:left w:val="nil"/>
              <w:bottom w:val="nil"/>
              <w:right w:val="nil"/>
            </w:tcBorders>
            <w:shd w:val="clear" w:color="auto" w:fill="FFFFFF"/>
            <w:vAlign w:val="bottom"/>
          </w:tcPr>
          <w:p w14:paraId="40A1447F" w14:textId="77777777" w:rsidR="00A031A6" w:rsidRDefault="00916FD0">
            <w:pPr>
              <w:jc w:val="right"/>
              <w:rPr>
                <w:color w:val="000000"/>
                <w:sz w:val="14"/>
                <w:szCs w:val="14"/>
              </w:rPr>
            </w:pPr>
            <w:r>
              <w:rPr>
                <w:color w:val="000000"/>
                <w:sz w:val="14"/>
                <w:szCs w:val="14"/>
              </w:rPr>
              <w:t>9,966,306</w:t>
            </w:r>
          </w:p>
        </w:tc>
        <w:tc>
          <w:tcPr>
            <w:tcW w:w="1510" w:type="dxa"/>
            <w:gridSpan w:val="2"/>
            <w:tcBorders>
              <w:top w:val="nil"/>
              <w:left w:val="nil"/>
              <w:bottom w:val="nil"/>
              <w:right w:val="nil"/>
            </w:tcBorders>
            <w:shd w:val="clear" w:color="auto" w:fill="FFFFFF"/>
            <w:vAlign w:val="bottom"/>
          </w:tcPr>
          <w:p w14:paraId="05CD9EAC" w14:textId="77777777" w:rsidR="00A031A6" w:rsidRDefault="00916FD0">
            <w:pPr>
              <w:jc w:val="right"/>
              <w:rPr>
                <w:color w:val="000000"/>
                <w:sz w:val="14"/>
                <w:szCs w:val="14"/>
              </w:rPr>
            </w:pPr>
            <w:r>
              <w:rPr>
                <w:color w:val="000000"/>
                <w:sz w:val="14"/>
                <w:szCs w:val="14"/>
              </w:rPr>
              <w:t>1,974,608</w:t>
            </w:r>
          </w:p>
        </w:tc>
        <w:tc>
          <w:tcPr>
            <w:tcW w:w="1254" w:type="dxa"/>
            <w:gridSpan w:val="2"/>
            <w:tcBorders>
              <w:top w:val="nil"/>
              <w:left w:val="nil"/>
              <w:bottom w:val="nil"/>
              <w:right w:val="nil"/>
            </w:tcBorders>
            <w:shd w:val="clear" w:color="auto" w:fill="FFFFFF"/>
            <w:vAlign w:val="bottom"/>
          </w:tcPr>
          <w:p w14:paraId="3C4CDA7E" w14:textId="77777777" w:rsidR="00A031A6" w:rsidRDefault="00916FD0">
            <w:pPr>
              <w:jc w:val="right"/>
              <w:rPr>
                <w:color w:val="000000"/>
                <w:sz w:val="14"/>
                <w:szCs w:val="14"/>
              </w:rPr>
            </w:pPr>
            <w:r>
              <w:rPr>
                <w:color w:val="000000"/>
                <w:sz w:val="14"/>
                <w:szCs w:val="14"/>
              </w:rPr>
              <w:t>601,390</w:t>
            </w:r>
          </w:p>
        </w:tc>
        <w:tc>
          <w:tcPr>
            <w:tcW w:w="995" w:type="dxa"/>
            <w:tcBorders>
              <w:top w:val="nil"/>
              <w:left w:val="nil"/>
              <w:bottom w:val="nil"/>
              <w:right w:val="nil"/>
            </w:tcBorders>
            <w:shd w:val="clear" w:color="auto" w:fill="FFFFFF"/>
            <w:vAlign w:val="bottom"/>
          </w:tcPr>
          <w:p w14:paraId="6B66DB7A" w14:textId="77777777" w:rsidR="00A031A6" w:rsidRDefault="00916FD0">
            <w:pPr>
              <w:jc w:val="right"/>
              <w:rPr>
                <w:color w:val="000000"/>
                <w:sz w:val="14"/>
                <w:szCs w:val="14"/>
              </w:rPr>
            </w:pPr>
            <w:r>
              <w:rPr>
                <w:color w:val="000000"/>
                <w:sz w:val="14"/>
                <w:szCs w:val="14"/>
              </w:rPr>
              <w:t>27,644,518</w:t>
            </w:r>
          </w:p>
        </w:tc>
        <w:tc>
          <w:tcPr>
            <w:tcW w:w="986" w:type="dxa"/>
            <w:gridSpan w:val="2"/>
            <w:tcBorders>
              <w:top w:val="nil"/>
              <w:left w:val="nil"/>
              <w:bottom w:val="nil"/>
              <w:right w:val="nil"/>
            </w:tcBorders>
            <w:shd w:val="clear" w:color="auto" w:fill="FFFFFF"/>
            <w:vAlign w:val="bottom"/>
          </w:tcPr>
          <w:p w14:paraId="63FED101" w14:textId="77777777" w:rsidR="00A031A6" w:rsidRDefault="00916FD0">
            <w:pPr>
              <w:jc w:val="right"/>
              <w:rPr>
                <w:color w:val="000000"/>
                <w:sz w:val="14"/>
                <w:szCs w:val="14"/>
              </w:rPr>
            </w:pPr>
            <w:r>
              <w:rPr>
                <w:color w:val="000000"/>
                <w:sz w:val="14"/>
                <w:szCs w:val="14"/>
              </w:rPr>
              <w:t>60%</w:t>
            </w:r>
          </w:p>
        </w:tc>
        <w:tc>
          <w:tcPr>
            <w:tcW w:w="1214" w:type="dxa"/>
            <w:gridSpan w:val="2"/>
            <w:tcBorders>
              <w:top w:val="nil"/>
              <w:left w:val="nil"/>
              <w:bottom w:val="nil"/>
              <w:right w:val="nil"/>
            </w:tcBorders>
            <w:shd w:val="clear" w:color="auto" w:fill="FFFFFF"/>
            <w:vAlign w:val="bottom"/>
          </w:tcPr>
          <w:p w14:paraId="41A4EC9A" w14:textId="77777777" w:rsidR="00A031A6" w:rsidRDefault="00916FD0">
            <w:pPr>
              <w:jc w:val="right"/>
              <w:rPr>
                <w:color w:val="000000"/>
                <w:sz w:val="14"/>
                <w:szCs w:val="14"/>
              </w:rPr>
            </w:pPr>
            <w:r>
              <w:rPr>
                <w:color w:val="000000"/>
                <w:sz w:val="14"/>
                <w:szCs w:val="14"/>
              </w:rPr>
              <w:t>18,385,772</w:t>
            </w:r>
          </w:p>
        </w:tc>
        <w:tc>
          <w:tcPr>
            <w:tcW w:w="1216" w:type="dxa"/>
            <w:gridSpan w:val="2"/>
            <w:tcBorders>
              <w:top w:val="nil"/>
              <w:left w:val="nil"/>
              <w:bottom w:val="nil"/>
              <w:right w:val="nil"/>
            </w:tcBorders>
            <w:shd w:val="clear" w:color="auto" w:fill="FFFFFF"/>
            <w:vAlign w:val="bottom"/>
          </w:tcPr>
          <w:p w14:paraId="6F15B698" w14:textId="77777777" w:rsidR="00A031A6" w:rsidRDefault="00916FD0">
            <w:pPr>
              <w:jc w:val="right"/>
              <w:rPr>
                <w:color w:val="000000"/>
                <w:sz w:val="14"/>
                <w:szCs w:val="14"/>
              </w:rPr>
            </w:pPr>
            <w:r>
              <w:rPr>
                <w:color w:val="000000"/>
                <w:sz w:val="14"/>
                <w:szCs w:val="14"/>
              </w:rPr>
              <w:t>40%</w:t>
            </w:r>
          </w:p>
        </w:tc>
        <w:tc>
          <w:tcPr>
            <w:tcW w:w="988" w:type="dxa"/>
            <w:gridSpan w:val="2"/>
            <w:tcBorders>
              <w:top w:val="nil"/>
              <w:left w:val="nil"/>
              <w:bottom w:val="nil"/>
              <w:right w:val="nil"/>
            </w:tcBorders>
            <w:shd w:val="clear" w:color="auto" w:fill="FFFFFF"/>
            <w:vAlign w:val="bottom"/>
          </w:tcPr>
          <w:p w14:paraId="2F0ADF94" w14:textId="77777777" w:rsidR="00A031A6" w:rsidRDefault="00916FD0">
            <w:pPr>
              <w:jc w:val="right"/>
              <w:rPr>
                <w:color w:val="000000"/>
                <w:sz w:val="14"/>
                <w:szCs w:val="14"/>
              </w:rPr>
            </w:pPr>
            <w:r>
              <w:rPr>
                <w:color w:val="000000"/>
                <w:sz w:val="14"/>
                <w:szCs w:val="14"/>
              </w:rPr>
              <w:t>64%</w:t>
            </w:r>
          </w:p>
        </w:tc>
        <w:tc>
          <w:tcPr>
            <w:tcW w:w="1426" w:type="dxa"/>
            <w:gridSpan w:val="2"/>
            <w:tcBorders>
              <w:top w:val="nil"/>
              <w:left w:val="nil"/>
              <w:bottom w:val="nil"/>
              <w:right w:val="nil"/>
            </w:tcBorders>
            <w:shd w:val="clear" w:color="auto" w:fill="FFFFFF"/>
            <w:vAlign w:val="bottom"/>
          </w:tcPr>
          <w:p w14:paraId="4F2FFC11" w14:textId="77777777" w:rsidR="00A031A6" w:rsidRDefault="00916FD0">
            <w:pPr>
              <w:jc w:val="right"/>
              <w:rPr>
                <w:color w:val="000000"/>
                <w:sz w:val="14"/>
                <w:szCs w:val="14"/>
              </w:rPr>
            </w:pPr>
            <w:r>
              <w:rPr>
                <w:color w:val="000000"/>
                <w:sz w:val="14"/>
                <w:szCs w:val="14"/>
              </w:rPr>
              <w:t>46,030,290</w:t>
            </w:r>
          </w:p>
        </w:tc>
        <w:tc>
          <w:tcPr>
            <w:tcW w:w="1070" w:type="dxa"/>
            <w:tcBorders>
              <w:top w:val="nil"/>
              <w:left w:val="nil"/>
              <w:bottom w:val="nil"/>
              <w:right w:val="nil"/>
            </w:tcBorders>
            <w:shd w:val="clear" w:color="auto" w:fill="FFFFFF"/>
            <w:vAlign w:val="bottom"/>
          </w:tcPr>
          <w:p w14:paraId="7EE60711" w14:textId="77777777" w:rsidR="00A031A6" w:rsidRDefault="00916FD0">
            <w:pPr>
              <w:jc w:val="right"/>
              <w:rPr>
                <w:color w:val="000000"/>
                <w:sz w:val="14"/>
                <w:szCs w:val="14"/>
              </w:rPr>
            </w:pPr>
            <w:r>
              <w:rPr>
                <w:color w:val="000000"/>
                <w:sz w:val="14"/>
                <w:szCs w:val="14"/>
              </w:rPr>
              <w:t>0%</w:t>
            </w:r>
          </w:p>
        </w:tc>
      </w:tr>
      <w:tr w:rsidR="00A031A6" w14:paraId="4FEC68F1" w14:textId="77777777">
        <w:trPr>
          <w:trHeight w:val="57"/>
        </w:trPr>
        <w:tc>
          <w:tcPr>
            <w:tcW w:w="1560" w:type="dxa"/>
            <w:gridSpan w:val="2"/>
            <w:tcBorders>
              <w:top w:val="nil"/>
              <w:left w:val="nil"/>
              <w:bottom w:val="nil"/>
              <w:right w:val="nil"/>
            </w:tcBorders>
            <w:shd w:val="clear" w:color="auto" w:fill="FFFFFF"/>
            <w:vAlign w:val="bottom"/>
          </w:tcPr>
          <w:p w14:paraId="6C52C15D" w14:textId="77777777"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14:paraId="3DD0FE87" w14:textId="77777777" w:rsidR="00A031A6" w:rsidRDefault="00916FD0">
            <w:pPr>
              <w:jc w:val="right"/>
              <w:rPr>
                <w:color w:val="000000"/>
                <w:sz w:val="14"/>
                <w:szCs w:val="14"/>
              </w:rPr>
            </w:pPr>
            <w:r>
              <w:rPr>
                <w:color w:val="000000"/>
                <w:sz w:val="14"/>
                <w:szCs w:val="14"/>
              </w:rPr>
              <w:t>53,972,451</w:t>
            </w:r>
          </w:p>
        </w:tc>
        <w:tc>
          <w:tcPr>
            <w:tcW w:w="1043" w:type="dxa"/>
            <w:gridSpan w:val="2"/>
            <w:tcBorders>
              <w:top w:val="nil"/>
              <w:left w:val="nil"/>
              <w:bottom w:val="nil"/>
              <w:right w:val="nil"/>
            </w:tcBorders>
            <w:shd w:val="clear" w:color="auto" w:fill="FFFFFF"/>
            <w:vAlign w:val="bottom"/>
          </w:tcPr>
          <w:p w14:paraId="15C150B2" w14:textId="77777777" w:rsidR="00A031A6" w:rsidRDefault="00916FD0">
            <w:pPr>
              <w:jc w:val="right"/>
              <w:rPr>
                <w:color w:val="000000"/>
                <w:sz w:val="14"/>
                <w:szCs w:val="14"/>
              </w:rPr>
            </w:pPr>
            <w:r>
              <w:rPr>
                <w:color w:val="000000"/>
                <w:sz w:val="14"/>
                <w:szCs w:val="14"/>
              </w:rPr>
              <w:t>46,030,290</w:t>
            </w:r>
          </w:p>
        </w:tc>
        <w:tc>
          <w:tcPr>
            <w:tcW w:w="967" w:type="dxa"/>
            <w:gridSpan w:val="2"/>
            <w:tcBorders>
              <w:top w:val="nil"/>
              <w:left w:val="nil"/>
              <w:bottom w:val="nil"/>
              <w:right w:val="nil"/>
            </w:tcBorders>
            <w:shd w:val="clear" w:color="auto" w:fill="FFFFFF"/>
            <w:vAlign w:val="bottom"/>
          </w:tcPr>
          <w:p w14:paraId="3441735D" w14:textId="77777777" w:rsidR="00A031A6" w:rsidRDefault="00916FD0">
            <w:pPr>
              <w:jc w:val="right"/>
              <w:rPr>
                <w:color w:val="000000"/>
                <w:sz w:val="14"/>
                <w:szCs w:val="14"/>
              </w:rPr>
            </w:pPr>
            <w:r>
              <w:rPr>
                <w:color w:val="000000"/>
                <w:sz w:val="14"/>
                <w:szCs w:val="14"/>
              </w:rPr>
              <w:t>11,010,847</w:t>
            </w:r>
          </w:p>
        </w:tc>
        <w:tc>
          <w:tcPr>
            <w:tcW w:w="1510" w:type="dxa"/>
            <w:gridSpan w:val="2"/>
            <w:tcBorders>
              <w:top w:val="nil"/>
              <w:left w:val="nil"/>
              <w:bottom w:val="nil"/>
              <w:right w:val="nil"/>
            </w:tcBorders>
            <w:shd w:val="clear" w:color="auto" w:fill="FFFFFF"/>
            <w:vAlign w:val="bottom"/>
          </w:tcPr>
          <w:p w14:paraId="4DF38130" w14:textId="77777777" w:rsidR="00A031A6" w:rsidRDefault="00916FD0">
            <w:pPr>
              <w:jc w:val="right"/>
              <w:rPr>
                <w:color w:val="000000"/>
                <w:sz w:val="14"/>
                <w:szCs w:val="14"/>
              </w:rPr>
            </w:pPr>
            <w:r>
              <w:rPr>
                <w:color w:val="000000"/>
                <w:sz w:val="14"/>
                <w:szCs w:val="14"/>
              </w:rPr>
              <w:t>1,842,968</w:t>
            </w:r>
          </w:p>
        </w:tc>
        <w:tc>
          <w:tcPr>
            <w:tcW w:w="1254" w:type="dxa"/>
            <w:gridSpan w:val="2"/>
            <w:tcBorders>
              <w:top w:val="nil"/>
              <w:left w:val="nil"/>
              <w:bottom w:val="nil"/>
              <w:right w:val="nil"/>
            </w:tcBorders>
            <w:shd w:val="clear" w:color="auto" w:fill="FFFFFF"/>
            <w:vAlign w:val="bottom"/>
          </w:tcPr>
          <w:p w14:paraId="11AFF671" w14:textId="77777777" w:rsidR="00A031A6" w:rsidRDefault="00916FD0">
            <w:pPr>
              <w:jc w:val="right"/>
              <w:rPr>
                <w:color w:val="000000"/>
                <w:sz w:val="14"/>
                <w:szCs w:val="14"/>
              </w:rPr>
            </w:pPr>
            <w:r>
              <w:rPr>
                <w:color w:val="000000"/>
                <w:sz w:val="14"/>
                <w:szCs w:val="14"/>
              </w:rPr>
              <w:t>1,225,718</w:t>
            </w:r>
          </w:p>
        </w:tc>
        <w:tc>
          <w:tcPr>
            <w:tcW w:w="995" w:type="dxa"/>
            <w:tcBorders>
              <w:top w:val="nil"/>
              <w:left w:val="nil"/>
              <w:bottom w:val="nil"/>
              <w:right w:val="nil"/>
            </w:tcBorders>
            <w:shd w:val="clear" w:color="auto" w:fill="FFFFFF"/>
            <w:vAlign w:val="bottom"/>
          </w:tcPr>
          <w:p w14:paraId="268E0506" w14:textId="77777777" w:rsidR="00A031A6" w:rsidRDefault="00916FD0">
            <w:pPr>
              <w:jc w:val="right"/>
              <w:rPr>
                <w:color w:val="000000"/>
                <w:sz w:val="14"/>
                <w:szCs w:val="14"/>
              </w:rPr>
            </w:pPr>
            <w:r>
              <w:rPr>
                <w:color w:val="000000"/>
                <w:sz w:val="14"/>
                <w:szCs w:val="14"/>
              </w:rPr>
              <w:t>25,801,550</w:t>
            </w:r>
          </w:p>
        </w:tc>
        <w:tc>
          <w:tcPr>
            <w:tcW w:w="986" w:type="dxa"/>
            <w:gridSpan w:val="2"/>
            <w:tcBorders>
              <w:top w:val="nil"/>
              <w:left w:val="nil"/>
              <w:bottom w:val="nil"/>
              <w:right w:val="nil"/>
            </w:tcBorders>
            <w:shd w:val="clear" w:color="auto" w:fill="FFFFFF"/>
            <w:vAlign w:val="bottom"/>
          </w:tcPr>
          <w:p w14:paraId="316384F5" w14:textId="77777777" w:rsidR="00A031A6" w:rsidRDefault="00916FD0">
            <w:pPr>
              <w:jc w:val="right"/>
              <w:rPr>
                <w:color w:val="000000"/>
                <w:sz w:val="14"/>
                <w:szCs w:val="14"/>
              </w:rPr>
            </w:pPr>
            <w:r>
              <w:rPr>
                <w:color w:val="000000"/>
                <w:sz w:val="14"/>
                <w:szCs w:val="14"/>
              </w:rPr>
              <w:t>48%</w:t>
            </w:r>
          </w:p>
        </w:tc>
        <w:tc>
          <w:tcPr>
            <w:tcW w:w="1214" w:type="dxa"/>
            <w:gridSpan w:val="2"/>
            <w:tcBorders>
              <w:top w:val="nil"/>
              <w:left w:val="nil"/>
              <w:bottom w:val="nil"/>
              <w:right w:val="nil"/>
            </w:tcBorders>
            <w:shd w:val="clear" w:color="auto" w:fill="FFFFFF"/>
            <w:vAlign w:val="bottom"/>
          </w:tcPr>
          <w:p w14:paraId="51F0734F" w14:textId="77777777" w:rsidR="00A031A6" w:rsidRDefault="00916FD0">
            <w:pPr>
              <w:jc w:val="right"/>
              <w:rPr>
                <w:color w:val="000000"/>
                <w:sz w:val="14"/>
                <w:szCs w:val="14"/>
              </w:rPr>
            </w:pPr>
            <w:r>
              <w:rPr>
                <w:color w:val="000000"/>
                <w:sz w:val="14"/>
                <w:szCs w:val="14"/>
              </w:rPr>
              <w:t>28,170,901</w:t>
            </w:r>
          </w:p>
        </w:tc>
        <w:tc>
          <w:tcPr>
            <w:tcW w:w="1216" w:type="dxa"/>
            <w:gridSpan w:val="2"/>
            <w:tcBorders>
              <w:top w:val="nil"/>
              <w:left w:val="nil"/>
              <w:bottom w:val="nil"/>
              <w:right w:val="nil"/>
            </w:tcBorders>
            <w:shd w:val="clear" w:color="auto" w:fill="FFFFFF"/>
            <w:vAlign w:val="bottom"/>
          </w:tcPr>
          <w:p w14:paraId="10848268" w14:textId="77777777" w:rsidR="00A031A6" w:rsidRDefault="00916FD0">
            <w:pPr>
              <w:jc w:val="right"/>
              <w:rPr>
                <w:color w:val="000000"/>
                <w:sz w:val="14"/>
                <w:szCs w:val="14"/>
              </w:rPr>
            </w:pPr>
            <w:r>
              <w:rPr>
                <w:color w:val="000000"/>
                <w:sz w:val="14"/>
                <w:szCs w:val="14"/>
              </w:rPr>
              <w:t>52%</w:t>
            </w:r>
          </w:p>
        </w:tc>
        <w:tc>
          <w:tcPr>
            <w:tcW w:w="988" w:type="dxa"/>
            <w:gridSpan w:val="2"/>
            <w:tcBorders>
              <w:top w:val="nil"/>
              <w:left w:val="nil"/>
              <w:bottom w:val="nil"/>
              <w:right w:val="nil"/>
            </w:tcBorders>
            <w:shd w:val="clear" w:color="auto" w:fill="FFFFFF"/>
            <w:vAlign w:val="bottom"/>
          </w:tcPr>
          <w:p w14:paraId="468B880D" w14:textId="77777777" w:rsidR="00A031A6" w:rsidRDefault="00916FD0">
            <w:pPr>
              <w:jc w:val="right"/>
              <w:rPr>
                <w:color w:val="000000"/>
                <w:sz w:val="14"/>
                <w:szCs w:val="14"/>
              </w:rPr>
            </w:pPr>
            <w:r>
              <w:rPr>
                <w:color w:val="000000"/>
                <w:sz w:val="14"/>
                <w:szCs w:val="14"/>
              </w:rPr>
              <w:t>75%</w:t>
            </w:r>
          </w:p>
        </w:tc>
        <w:tc>
          <w:tcPr>
            <w:tcW w:w="1426" w:type="dxa"/>
            <w:gridSpan w:val="2"/>
            <w:tcBorders>
              <w:top w:val="nil"/>
              <w:left w:val="nil"/>
              <w:bottom w:val="nil"/>
              <w:right w:val="nil"/>
            </w:tcBorders>
            <w:shd w:val="clear" w:color="auto" w:fill="FFFFFF"/>
            <w:vAlign w:val="bottom"/>
          </w:tcPr>
          <w:p w14:paraId="71EF445E" w14:textId="77777777" w:rsidR="00A031A6" w:rsidRDefault="00916FD0">
            <w:pPr>
              <w:jc w:val="right"/>
              <w:rPr>
                <w:color w:val="000000"/>
                <w:sz w:val="14"/>
                <w:szCs w:val="14"/>
              </w:rPr>
            </w:pPr>
            <w:r>
              <w:rPr>
                <w:color w:val="000000"/>
                <w:sz w:val="14"/>
                <w:szCs w:val="14"/>
              </w:rPr>
              <w:t>53,972,451</w:t>
            </w:r>
          </w:p>
        </w:tc>
        <w:tc>
          <w:tcPr>
            <w:tcW w:w="1070" w:type="dxa"/>
            <w:tcBorders>
              <w:top w:val="nil"/>
              <w:left w:val="nil"/>
              <w:bottom w:val="nil"/>
              <w:right w:val="nil"/>
            </w:tcBorders>
            <w:shd w:val="clear" w:color="auto" w:fill="FFFFFF"/>
            <w:vAlign w:val="bottom"/>
          </w:tcPr>
          <w:p w14:paraId="031ECEB3" w14:textId="77777777" w:rsidR="00A031A6" w:rsidRDefault="00916FD0">
            <w:pPr>
              <w:jc w:val="right"/>
              <w:rPr>
                <w:color w:val="000000"/>
                <w:sz w:val="14"/>
                <w:szCs w:val="14"/>
              </w:rPr>
            </w:pPr>
            <w:r>
              <w:rPr>
                <w:color w:val="000000"/>
                <w:sz w:val="14"/>
                <w:szCs w:val="14"/>
              </w:rPr>
              <w:t>0%</w:t>
            </w:r>
          </w:p>
        </w:tc>
      </w:tr>
      <w:tr w:rsidR="00A031A6" w14:paraId="035791CD" w14:textId="77777777">
        <w:trPr>
          <w:trHeight w:val="57"/>
        </w:trPr>
        <w:tc>
          <w:tcPr>
            <w:tcW w:w="1560" w:type="dxa"/>
            <w:gridSpan w:val="2"/>
            <w:tcBorders>
              <w:top w:val="nil"/>
              <w:left w:val="nil"/>
              <w:bottom w:val="nil"/>
              <w:right w:val="nil"/>
            </w:tcBorders>
            <w:shd w:val="clear" w:color="auto" w:fill="FFFFFF"/>
            <w:vAlign w:val="bottom"/>
          </w:tcPr>
          <w:p w14:paraId="3B82BD12" w14:textId="77777777"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14:paraId="219C2C04" w14:textId="77777777" w:rsidR="00A031A6" w:rsidRDefault="00916FD0">
            <w:pPr>
              <w:jc w:val="right"/>
              <w:rPr>
                <w:color w:val="000000"/>
                <w:sz w:val="14"/>
                <w:szCs w:val="14"/>
              </w:rPr>
            </w:pPr>
            <w:r>
              <w:rPr>
                <w:color w:val="000000"/>
                <w:sz w:val="14"/>
                <w:szCs w:val="14"/>
              </w:rPr>
              <w:t>62,539,149</w:t>
            </w:r>
          </w:p>
        </w:tc>
        <w:tc>
          <w:tcPr>
            <w:tcW w:w="1043" w:type="dxa"/>
            <w:gridSpan w:val="2"/>
            <w:tcBorders>
              <w:top w:val="nil"/>
              <w:left w:val="nil"/>
              <w:bottom w:val="nil"/>
              <w:right w:val="nil"/>
            </w:tcBorders>
            <w:shd w:val="clear" w:color="auto" w:fill="FFFFFF"/>
            <w:vAlign w:val="bottom"/>
          </w:tcPr>
          <w:p w14:paraId="7F514C13" w14:textId="77777777" w:rsidR="00A031A6" w:rsidRDefault="00916FD0">
            <w:pPr>
              <w:jc w:val="right"/>
              <w:rPr>
                <w:color w:val="000000"/>
                <w:sz w:val="14"/>
                <w:szCs w:val="14"/>
              </w:rPr>
            </w:pPr>
            <w:r>
              <w:rPr>
                <w:color w:val="000000"/>
                <w:sz w:val="14"/>
                <w:szCs w:val="14"/>
              </w:rPr>
              <w:t>53,972,451</w:t>
            </w:r>
          </w:p>
        </w:tc>
        <w:tc>
          <w:tcPr>
            <w:tcW w:w="967" w:type="dxa"/>
            <w:gridSpan w:val="2"/>
            <w:tcBorders>
              <w:top w:val="nil"/>
              <w:left w:val="nil"/>
              <w:bottom w:val="nil"/>
              <w:right w:val="nil"/>
            </w:tcBorders>
            <w:shd w:val="clear" w:color="auto" w:fill="FFFFFF"/>
            <w:vAlign w:val="bottom"/>
          </w:tcPr>
          <w:p w14:paraId="6CE05EB3" w14:textId="77777777" w:rsidR="00A031A6" w:rsidRDefault="00916FD0">
            <w:pPr>
              <w:jc w:val="right"/>
              <w:rPr>
                <w:color w:val="000000"/>
                <w:sz w:val="14"/>
                <w:szCs w:val="14"/>
              </w:rPr>
            </w:pPr>
            <w:r>
              <w:rPr>
                <w:color w:val="000000"/>
                <w:sz w:val="14"/>
                <w:szCs w:val="14"/>
              </w:rPr>
              <w:t>12,164,862</w:t>
            </w:r>
          </w:p>
        </w:tc>
        <w:tc>
          <w:tcPr>
            <w:tcW w:w="1510" w:type="dxa"/>
            <w:gridSpan w:val="2"/>
            <w:tcBorders>
              <w:top w:val="nil"/>
              <w:left w:val="nil"/>
              <w:bottom w:val="nil"/>
              <w:right w:val="nil"/>
            </w:tcBorders>
            <w:shd w:val="clear" w:color="auto" w:fill="FFFFFF"/>
            <w:vAlign w:val="bottom"/>
          </w:tcPr>
          <w:p w14:paraId="769DE525" w14:textId="77777777" w:rsidR="00A031A6" w:rsidRDefault="00916FD0">
            <w:pPr>
              <w:jc w:val="right"/>
              <w:rPr>
                <w:color w:val="000000"/>
                <w:sz w:val="14"/>
                <w:szCs w:val="14"/>
              </w:rPr>
            </w:pPr>
            <w:r>
              <w:rPr>
                <w:color w:val="000000"/>
                <w:sz w:val="14"/>
                <w:szCs w:val="14"/>
              </w:rPr>
              <w:t>1,720,103</w:t>
            </w:r>
          </w:p>
        </w:tc>
        <w:tc>
          <w:tcPr>
            <w:tcW w:w="1254" w:type="dxa"/>
            <w:gridSpan w:val="2"/>
            <w:tcBorders>
              <w:top w:val="nil"/>
              <w:left w:val="nil"/>
              <w:bottom w:val="nil"/>
              <w:right w:val="nil"/>
            </w:tcBorders>
            <w:shd w:val="clear" w:color="auto" w:fill="FFFFFF"/>
            <w:vAlign w:val="bottom"/>
          </w:tcPr>
          <w:p w14:paraId="226CC0D8" w14:textId="77777777" w:rsidR="00A031A6" w:rsidRDefault="00916FD0">
            <w:pPr>
              <w:jc w:val="right"/>
              <w:rPr>
                <w:color w:val="000000"/>
                <w:sz w:val="14"/>
                <w:szCs w:val="14"/>
              </w:rPr>
            </w:pPr>
            <w:r>
              <w:rPr>
                <w:color w:val="000000"/>
                <w:sz w:val="14"/>
                <w:szCs w:val="14"/>
              </w:rPr>
              <w:t>1,878,060</w:t>
            </w:r>
          </w:p>
        </w:tc>
        <w:tc>
          <w:tcPr>
            <w:tcW w:w="995" w:type="dxa"/>
            <w:tcBorders>
              <w:top w:val="nil"/>
              <w:left w:val="nil"/>
              <w:bottom w:val="nil"/>
              <w:right w:val="nil"/>
            </w:tcBorders>
            <w:shd w:val="clear" w:color="auto" w:fill="FFFFFF"/>
            <w:vAlign w:val="bottom"/>
          </w:tcPr>
          <w:p w14:paraId="412ED072" w14:textId="77777777" w:rsidR="00A031A6" w:rsidRDefault="00916FD0">
            <w:pPr>
              <w:jc w:val="right"/>
              <w:rPr>
                <w:color w:val="000000"/>
                <w:sz w:val="14"/>
                <w:szCs w:val="14"/>
              </w:rPr>
            </w:pPr>
            <w:r>
              <w:rPr>
                <w:color w:val="000000"/>
                <w:sz w:val="14"/>
                <w:szCs w:val="14"/>
              </w:rPr>
              <w:t>24,081,447</w:t>
            </w:r>
          </w:p>
        </w:tc>
        <w:tc>
          <w:tcPr>
            <w:tcW w:w="986" w:type="dxa"/>
            <w:gridSpan w:val="2"/>
            <w:tcBorders>
              <w:top w:val="nil"/>
              <w:left w:val="nil"/>
              <w:bottom w:val="nil"/>
              <w:right w:val="nil"/>
            </w:tcBorders>
            <w:shd w:val="clear" w:color="auto" w:fill="FFFFFF"/>
            <w:vAlign w:val="bottom"/>
          </w:tcPr>
          <w:p w14:paraId="3BFF852C" w14:textId="77777777" w:rsidR="00A031A6" w:rsidRDefault="00916FD0">
            <w:pPr>
              <w:jc w:val="right"/>
              <w:rPr>
                <w:color w:val="000000"/>
                <w:sz w:val="14"/>
                <w:szCs w:val="14"/>
              </w:rPr>
            </w:pPr>
            <w:r>
              <w:rPr>
                <w:color w:val="000000"/>
                <w:sz w:val="14"/>
                <w:szCs w:val="14"/>
              </w:rPr>
              <w:t>39%</w:t>
            </w:r>
          </w:p>
        </w:tc>
        <w:tc>
          <w:tcPr>
            <w:tcW w:w="1214" w:type="dxa"/>
            <w:gridSpan w:val="2"/>
            <w:tcBorders>
              <w:top w:val="nil"/>
              <w:left w:val="nil"/>
              <w:bottom w:val="nil"/>
              <w:right w:val="nil"/>
            </w:tcBorders>
            <w:shd w:val="clear" w:color="auto" w:fill="FFFFFF"/>
            <w:vAlign w:val="bottom"/>
          </w:tcPr>
          <w:p w14:paraId="54A4C811" w14:textId="77777777" w:rsidR="00A031A6" w:rsidRDefault="00916FD0">
            <w:pPr>
              <w:jc w:val="right"/>
              <w:rPr>
                <w:color w:val="000000"/>
                <w:sz w:val="14"/>
                <w:szCs w:val="14"/>
              </w:rPr>
            </w:pPr>
            <w:r>
              <w:rPr>
                <w:color w:val="000000"/>
                <w:sz w:val="14"/>
                <w:szCs w:val="14"/>
              </w:rPr>
              <w:t>38,457,702</w:t>
            </w:r>
          </w:p>
        </w:tc>
        <w:tc>
          <w:tcPr>
            <w:tcW w:w="1216" w:type="dxa"/>
            <w:gridSpan w:val="2"/>
            <w:tcBorders>
              <w:top w:val="nil"/>
              <w:left w:val="nil"/>
              <w:bottom w:val="nil"/>
              <w:right w:val="nil"/>
            </w:tcBorders>
            <w:shd w:val="clear" w:color="auto" w:fill="FFFFFF"/>
            <w:vAlign w:val="bottom"/>
          </w:tcPr>
          <w:p w14:paraId="509C2145" w14:textId="77777777" w:rsidR="00A031A6" w:rsidRDefault="00916FD0">
            <w:pPr>
              <w:jc w:val="right"/>
              <w:rPr>
                <w:color w:val="000000"/>
                <w:sz w:val="14"/>
                <w:szCs w:val="14"/>
              </w:rPr>
            </w:pPr>
            <w:r>
              <w:rPr>
                <w:color w:val="000000"/>
                <w:sz w:val="14"/>
                <w:szCs w:val="14"/>
              </w:rPr>
              <w:t>61%</w:t>
            </w:r>
          </w:p>
        </w:tc>
        <w:tc>
          <w:tcPr>
            <w:tcW w:w="988" w:type="dxa"/>
            <w:gridSpan w:val="2"/>
            <w:tcBorders>
              <w:top w:val="nil"/>
              <w:left w:val="nil"/>
              <w:bottom w:val="nil"/>
              <w:right w:val="nil"/>
            </w:tcBorders>
            <w:shd w:val="clear" w:color="auto" w:fill="FFFFFF"/>
            <w:vAlign w:val="bottom"/>
          </w:tcPr>
          <w:p w14:paraId="10B53FE4" w14:textId="77777777" w:rsidR="00A031A6" w:rsidRDefault="00916FD0">
            <w:pPr>
              <w:jc w:val="right"/>
              <w:rPr>
                <w:color w:val="000000"/>
                <w:sz w:val="14"/>
                <w:szCs w:val="14"/>
              </w:rPr>
            </w:pPr>
            <w:r>
              <w:rPr>
                <w:color w:val="000000"/>
                <w:sz w:val="14"/>
                <w:szCs w:val="14"/>
              </w:rPr>
              <w:t>86%</w:t>
            </w:r>
          </w:p>
        </w:tc>
        <w:tc>
          <w:tcPr>
            <w:tcW w:w="1426" w:type="dxa"/>
            <w:gridSpan w:val="2"/>
            <w:tcBorders>
              <w:top w:val="nil"/>
              <w:left w:val="nil"/>
              <w:bottom w:val="nil"/>
              <w:right w:val="nil"/>
            </w:tcBorders>
            <w:shd w:val="clear" w:color="auto" w:fill="FFFFFF"/>
            <w:vAlign w:val="bottom"/>
          </w:tcPr>
          <w:p w14:paraId="1460CFEB" w14:textId="77777777" w:rsidR="00A031A6" w:rsidRDefault="00916FD0">
            <w:pPr>
              <w:jc w:val="right"/>
              <w:rPr>
                <w:color w:val="000000"/>
                <w:sz w:val="14"/>
                <w:szCs w:val="14"/>
              </w:rPr>
            </w:pPr>
            <w:r>
              <w:rPr>
                <w:color w:val="000000"/>
                <w:sz w:val="14"/>
                <w:szCs w:val="14"/>
              </w:rPr>
              <w:t>62,539,149</w:t>
            </w:r>
          </w:p>
        </w:tc>
        <w:tc>
          <w:tcPr>
            <w:tcW w:w="1070" w:type="dxa"/>
            <w:tcBorders>
              <w:top w:val="nil"/>
              <w:left w:val="nil"/>
              <w:bottom w:val="nil"/>
              <w:right w:val="nil"/>
            </w:tcBorders>
            <w:shd w:val="clear" w:color="auto" w:fill="FFFFFF"/>
            <w:vAlign w:val="bottom"/>
          </w:tcPr>
          <w:p w14:paraId="611525CA" w14:textId="77777777" w:rsidR="00A031A6" w:rsidRDefault="00916FD0">
            <w:pPr>
              <w:jc w:val="right"/>
              <w:rPr>
                <w:color w:val="000000"/>
                <w:sz w:val="14"/>
                <w:szCs w:val="14"/>
              </w:rPr>
            </w:pPr>
            <w:r>
              <w:rPr>
                <w:color w:val="000000"/>
                <w:sz w:val="14"/>
                <w:szCs w:val="14"/>
              </w:rPr>
              <w:t>0%</w:t>
            </w:r>
          </w:p>
        </w:tc>
      </w:tr>
      <w:tr w:rsidR="00A031A6" w14:paraId="277FBB3C" w14:textId="77777777">
        <w:trPr>
          <w:trHeight w:val="57"/>
        </w:trPr>
        <w:tc>
          <w:tcPr>
            <w:tcW w:w="1560" w:type="dxa"/>
            <w:gridSpan w:val="2"/>
            <w:tcBorders>
              <w:top w:val="nil"/>
              <w:left w:val="nil"/>
              <w:bottom w:val="nil"/>
              <w:right w:val="nil"/>
            </w:tcBorders>
            <w:shd w:val="clear" w:color="auto" w:fill="FFFFFF"/>
            <w:vAlign w:val="bottom"/>
          </w:tcPr>
          <w:p w14:paraId="518109AA" w14:textId="77777777"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14:paraId="5E5C8E55" w14:textId="77777777" w:rsidR="00A031A6" w:rsidRDefault="00916FD0">
            <w:pPr>
              <w:jc w:val="right"/>
              <w:rPr>
                <w:color w:val="000000"/>
                <w:sz w:val="14"/>
                <w:szCs w:val="14"/>
              </w:rPr>
            </w:pPr>
            <w:r>
              <w:rPr>
                <w:color w:val="000000"/>
                <w:sz w:val="14"/>
                <w:szCs w:val="14"/>
              </w:rPr>
              <w:t>71,809,699</w:t>
            </w:r>
          </w:p>
        </w:tc>
        <w:tc>
          <w:tcPr>
            <w:tcW w:w="1043" w:type="dxa"/>
            <w:gridSpan w:val="2"/>
            <w:tcBorders>
              <w:top w:val="nil"/>
              <w:left w:val="nil"/>
              <w:bottom w:val="nil"/>
              <w:right w:val="nil"/>
            </w:tcBorders>
            <w:shd w:val="clear" w:color="auto" w:fill="FFFFFF"/>
            <w:vAlign w:val="bottom"/>
          </w:tcPr>
          <w:p w14:paraId="1FCD28F9" w14:textId="77777777" w:rsidR="00A031A6" w:rsidRDefault="00916FD0">
            <w:pPr>
              <w:jc w:val="right"/>
              <w:rPr>
                <w:color w:val="000000"/>
                <w:sz w:val="14"/>
                <w:szCs w:val="14"/>
              </w:rPr>
            </w:pPr>
            <w:r>
              <w:rPr>
                <w:color w:val="000000"/>
                <w:sz w:val="14"/>
                <w:szCs w:val="14"/>
              </w:rPr>
              <w:t>62,539,149</w:t>
            </w:r>
          </w:p>
        </w:tc>
        <w:tc>
          <w:tcPr>
            <w:tcW w:w="967" w:type="dxa"/>
            <w:gridSpan w:val="2"/>
            <w:tcBorders>
              <w:top w:val="nil"/>
              <w:left w:val="nil"/>
              <w:bottom w:val="nil"/>
              <w:right w:val="nil"/>
            </w:tcBorders>
            <w:shd w:val="clear" w:color="auto" w:fill="FFFFFF"/>
            <w:vAlign w:val="bottom"/>
          </w:tcPr>
          <w:p w14:paraId="1CA9A6FC" w14:textId="77777777" w:rsidR="00A031A6" w:rsidRDefault="00916FD0">
            <w:pPr>
              <w:jc w:val="right"/>
              <w:rPr>
                <w:color w:val="000000"/>
                <w:sz w:val="14"/>
                <w:szCs w:val="14"/>
              </w:rPr>
            </w:pPr>
            <w:r>
              <w:rPr>
                <w:color w:val="000000"/>
                <w:sz w:val="14"/>
                <w:szCs w:val="14"/>
              </w:rPr>
              <w:t>13,439,826</w:t>
            </w:r>
          </w:p>
        </w:tc>
        <w:tc>
          <w:tcPr>
            <w:tcW w:w="1510" w:type="dxa"/>
            <w:gridSpan w:val="2"/>
            <w:tcBorders>
              <w:top w:val="nil"/>
              <w:left w:val="nil"/>
              <w:bottom w:val="nil"/>
              <w:right w:val="nil"/>
            </w:tcBorders>
            <w:shd w:val="clear" w:color="auto" w:fill="FFFFFF"/>
            <w:vAlign w:val="bottom"/>
          </w:tcPr>
          <w:p w14:paraId="3377D2CF" w14:textId="77777777" w:rsidR="00A031A6" w:rsidRDefault="00916FD0">
            <w:pPr>
              <w:jc w:val="right"/>
              <w:rPr>
                <w:color w:val="000000"/>
                <w:sz w:val="14"/>
                <w:szCs w:val="14"/>
              </w:rPr>
            </w:pPr>
            <w:r>
              <w:rPr>
                <w:color w:val="000000"/>
                <w:sz w:val="14"/>
                <w:szCs w:val="14"/>
              </w:rPr>
              <w:t>1,605,430</w:t>
            </w:r>
          </w:p>
        </w:tc>
        <w:tc>
          <w:tcPr>
            <w:tcW w:w="1254" w:type="dxa"/>
            <w:gridSpan w:val="2"/>
            <w:tcBorders>
              <w:top w:val="nil"/>
              <w:left w:val="nil"/>
              <w:bottom w:val="nil"/>
              <w:right w:val="nil"/>
            </w:tcBorders>
            <w:shd w:val="clear" w:color="auto" w:fill="FFFFFF"/>
            <w:vAlign w:val="bottom"/>
          </w:tcPr>
          <w:p w14:paraId="16DF310F" w14:textId="77777777" w:rsidR="00A031A6" w:rsidRDefault="00916FD0">
            <w:pPr>
              <w:jc w:val="right"/>
              <w:rPr>
                <w:color w:val="000000"/>
                <w:sz w:val="14"/>
                <w:szCs w:val="14"/>
              </w:rPr>
            </w:pPr>
            <w:r>
              <w:rPr>
                <w:color w:val="000000"/>
                <w:sz w:val="14"/>
                <w:szCs w:val="14"/>
              </w:rPr>
              <w:t>2,563,847</w:t>
            </w:r>
          </w:p>
        </w:tc>
        <w:tc>
          <w:tcPr>
            <w:tcW w:w="995" w:type="dxa"/>
            <w:tcBorders>
              <w:top w:val="nil"/>
              <w:left w:val="nil"/>
              <w:bottom w:val="nil"/>
              <w:right w:val="nil"/>
            </w:tcBorders>
            <w:shd w:val="clear" w:color="auto" w:fill="FFFFFF"/>
            <w:vAlign w:val="bottom"/>
          </w:tcPr>
          <w:p w14:paraId="0B69C878" w14:textId="77777777" w:rsidR="00A031A6" w:rsidRDefault="00916FD0">
            <w:pPr>
              <w:jc w:val="right"/>
              <w:rPr>
                <w:color w:val="000000"/>
                <w:sz w:val="14"/>
                <w:szCs w:val="14"/>
              </w:rPr>
            </w:pPr>
            <w:r>
              <w:rPr>
                <w:color w:val="000000"/>
                <w:sz w:val="14"/>
                <w:szCs w:val="14"/>
              </w:rPr>
              <w:t>22,476,017</w:t>
            </w:r>
          </w:p>
        </w:tc>
        <w:tc>
          <w:tcPr>
            <w:tcW w:w="986" w:type="dxa"/>
            <w:gridSpan w:val="2"/>
            <w:tcBorders>
              <w:top w:val="nil"/>
              <w:left w:val="nil"/>
              <w:bottom w:val="nil"/>
              <w:right w:val="nil"/>
            </w:tcBorders>
            <w:shd w:val="clear" w:color="auto" w:fill="FFFFFF"/>
            <w:vAlign w:val="bottom"/>
          </w:tcPr>
          <w:p w14:paraId="743C6A06" w14:textId="77777777" w:rsidR="00A031A6" w:rsidRDefault="00916FD0">
            <w:pPr>
              <w:jc w:val="right"/>
              <w:rPr>
                <w:color w:val="000000"/>
                <w:sz w:val="14"/>
                <w:szCs w:val="14"/>
              </w:rPr>
            </w:pPr>
            <w:r>
              <w:rPr>
                <w:color w:val="000000"/>
                <w:sz w:val="14"/>
                <w:szCs w:val="14"/>
              </w:rPr>
              <w:t>31%</w:t>
            </w:r>
          </w:p>
        </w:tc>
        <w:tc>
          <w:tcPr>
            <w:tcW w:w="1214" w:type="dxa"/>
            <w:gridSpan w:val="2"/>
            <w:tcBorders>
              <w:top w:val="nil"/>
              <w:left w:val="nil"/>
              <w:bottom w:val="nil"/>
              <w:right w:val="nil"/>
            </w:tcBorders>
            <w:shd w:val="clear" w:color="auto" w:fill="FFFFFF"/>
            <w:vAlign w:val="bottom"/>
          </w:tcPr>
          <w:p w14:paraId="4CBC5E7E" w14:textId="77777777" w:rsidR="00A031A6" w:rsidRDefault="00916FD0">
            <w:pPr>
              <w:jc w:val="right"/>
              <w:rPr>
                <w:color w:val="000000"/>
                <w:sz w:val="14"/>
                <w:szCs w:val="14"/>
              </w:rPr>
            </w:pPr>
            <w:r>
              <w:rPr>
                <w:color w:val="000000"/>
                <w:sz w:val="14"/>
                <w:szCs w:val="14"/>
              </w:rPr>
              <w:t>49,333,682</w:t>
            </w:r>
          </w:p>
        </w:tc>
        <w:tc>
          <w:tcPr>
            <w:tcW w:w="1216" w:type="dxa"/>
            <w:gridSpan w:val="2"/>
            <w:tcBorders>
              <w:top w:val="nil"/>
              <w:left w:val="nil"/>
              <w:bottom w:val="nil"/>
              <w:right w:val="nil"/>
            </w:tcBorders>
            <w:shd w:val="clear" w:color="auto" w:fill="FFFFFF"/>
            <w:vAlign w:val="bottom"/>
          </w:tcPr>
          <w:p w14:paraId="7181DA6B" w14:textId="77777777" w:rsidR="00A031A6" w:rsidRDefault="00916FD0">
            <w:pPr>
              <w:jc w:val="right"/>
              <w:rPr>
                <w:color w:val="000000"/>
                <w:sz w:val="14"/>
                <w:szCs w:val="14"/>
              </w:rPr>
            </w:pPr>
            <w:r>
              <w:rPr>
                <w:color w:val="000000"/>
                <w:sz w:val="14"/>
                <w:szCs w:val="14"/>
              </w:rPr>
              <w:t>69%</w:t>
            </w:r>
          </w:p>
        </w:tc>
        <w:tc>
          <w:tcPr>
            <w:tcW w:w="988" w:type="dxa"/>
            <w:gridSpan w:val="2"/>
            <w:tcBorders>
              <w:top w:val="nil"/>
              <w:left w:val="nil"/>
              <w:bottom w:val="nil"/>
              <w:right w:val="nil"/>
            </w:tcBorders>
            <w:shd w:val="clear" w:color="auto" w:fill="FFFFFF"/>
            <w:vAlign w:val="bottom"/>
          </w:tcPr>
          <w:p w14:paraId="1DA52220" w14:textId="77777777" w:rsidR="00A031A6" w:rsidRDefault="00916FD0">
            <w:pPr>
              <w:jc w:val="right"/>
              <w:rPr>
                <w:color w:val="000000"/>
                <w:sz w:val="14"/>
                <w:szCs w:val="14"/>
              </w:rPr>
            </w:pPr>
            <w:r>
              <w:rPr>
                <w:color w:val="000000"/>
                <w:sz w:val="14"/>
                <w:szCs w:val="14"/>
              </w:rPr>
              <w:t>98%</w:t>
            </w:r>
          </w:p>
        </w:tc>
        <w:tc>
          <w:tcPr>
            <w:tcW w:w="1426" w:type="dxa"/>
            <w:gridSpan w:val="2"/>
            <w:tcBorders>
              <w:top w:val="nil"/>
              <w:left w:val="nil"/>
              <w:bottom w:val="nil"/>
              <w:right w:val="nil"/>
            </w:tcBorders>
            <w:shd w:val="clear" w:color="auto" w:fill="FFFFFF"/>
            <w:vAlign w:val="bottom"/>
          </w:tcPr>
          <w:p w14:paraId="631AE4CA" w14:textId="77777777" w:rsidR="00A031A6" w:rsidRDefault="00916FD0">
            <w:pPr>
              <w:jc w:val="right"/>
              <w:rPr>
                <w:color w:val="000000"/>
                <w:sz w:val="14"/>
                <w:szCs w:val="14"/>
              </w:rPr>
            </w:pPr>
            <w:r>
              <w:rPr>
                <w:color w:val="000000"/>
                <w:sz w:val="14"/>
                <w:szCs w:val="14"/>
              </w:rPr>
              <w:t>71,809,699</w:t>
            </w:r>
          </w:p>
        </w:tc>
        <w:tc>
          <w:tcPr>
            <w:tcW w:w="1070" w:type="dxa"/>
            <w:tcBorders>
              <w:top w:val="nil"/>
              <w:left w:val="nil"/>
              <w:bottom w:val="nil"/>
              <w:right w:val="nil"/>
            </w:tcBorders>
            <w:shd w:val="clear" w:color="auto" w:fill="FFFFFF"/>
            <w:vAlign w:val="bottom"/>
          </w:tcPr>
          <w:p w14:paraId="19C7F7F2" w14:textId="77777777" w:rsidR="00A031A6" w:rsidRDefault="00916FD0">
            <w:pPr>
              <w:jc w:val="right"/>
              <w:rPr>
                <w:color w:val="000000"/>
                <w:sz w:val="14"/>
                <w:szCs w:val="14"/>
              </w:rPr>
            </w:pPr>
            <w:r>
              <w:rPr>
                <w:color w:val="000000"/>
                <w:sz w:val="14"/>
                <w:szCs w:val="14"/>
              </w:rPr>
              <w:t>0%</w:t>
            </w:r>
          </w:p>
        </w:tc>
      </w:tr>
      <w:tr w:rsidR="00A031A6" w14:paraId="5197E484" w14:textId="77777777">
        <w:trPr>
          <w:trHeight w:val="57"/>
        </w:trPr>
        <w:tc>
          <w:tcPr>
            <w:tcW w:w="1560" w:type="dxa"/>
            <w:gridSpan w:val="2"/>
            <w:tcBorders>
              <w:top w:val="nil"/>
              <w:left w:val="nil"/>
              <w:bottom w:val="nil"/>
              <w:right w:val="nil"/>
            </w:tcBorders>
            <w:shd w:val="clear" w:color="auto" w:fill="FFFFFF"/>
            <w:vAlign w:val="bottom"/>
          </w:tcPr>
          <w:p w14:paraId="6A3EA8BD" w14:textId="77777777"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14:paraId="00DC407E" w14:textId="77777777" w:rsidR="00A031A6" w:rsidRDefault="00916FD0">
            <w:pPr>
              <w:jc w:val="right"/>
              <w:rPr>
                <w:color w:val="000000"/>
                <w:sz w:val="14"/>
                <w:szCs w:val="14"/>
              </w:rPr>
            </w:pPr>
            <w:r>
              <w:rPr>
                <w:color w:val="000000"/>
                <w:sz w:val="14"/>
                <w:szCs w:val="14"/>
              </w:rPr>
              <w:t>81,870,802</w:t>
            </w:r>
          </w:p>
        </w:tc>
        <w:tc>
          <w:tcPr>
            <w:tcW w:w="1043" w:type="dxa"/>
            <w:gridSpan w:val="2"/>
            <w:tcBorders>
              <w:top w:val="nil"/>
              <w:left w:val="nil"/>
              <w:bottom w:val="nil"/>
              <w:right w:val="nil"/>
            </w:tcBorders>
            <w:shd w:val="clear" w:color="auto" w:fill="FFFFFF"/>
            <w:vAlign w:val="bottom"/>
          </w:tcPr>
          <w:p w14:paraId="1CA2CF7B" w14:textId="77777777" w:rsidR="00A031A6" w:rsidRDefault="00916FD0">
            <w:pPr>
              <w:jc w:val="right"/>
              <w:rPr>
                <w:color w:val="000000"/>
                <w:sz w:val="14"/>
                <w:szCs w:val="14"/>
              </w:rPr>
            </w:pPr>
            <w:r>
              <w:rPr>
                <w:color w:val="000000"/>
                <w:sz w:val="14"/>
                <w:szCs w:val="14"/>
              </w:rPr>
              <w:t>71,809,699</w:t>
            </w:r>
          </w:p>
        </w:tc>
        <w:tc>
          <w:tcPr>
            <w:tcW w:w="967" w:type="dxa"/>
            <w:gridSpan w:val="2"/>
            <w:tcBorders>
              <w:top w:val="nil"/>
              <w:left w:val="nil"/>
              <w:bottom w:val="nil"/>
              <w:right w:val="nil"/>
            </w:tcBorders>
            <w:shd w:val="clear" w:color="auto" w:fill="FFFFFF"/>
            <w:vAlign w:val="bottom"/>
          </w:tcPr>
          <w:p w14:paraId="2CFE73E2" w14:textId="77777777" w:rsidR="00A031A6" w:rsidRDefault="00916FD0">
            <w:pPr>
              <w:jc w:val="right"/>
              <w:rPr>
                <w:color w:val="000000"/>
                <w:sz w:val="14"/>
                <w:szCs w:val="14"/>
              </w:rPr>
            </w:pPr>
            <w:r>
              <w:rPr>
                <w:color w:val="000000"/>
                <w:sz w:val="14"/>
                <w:szCs w:val="14"/>
              </w:rPr>
              <w:t>14,848,416</w:t>
            </w:r>
          </w:p>
        </w:tc>
        <w:tc>
          <w:tcPr>
            <w:tcW w:w="1510" w:type="dxa"/>
            <w:gridSpan w:val="2"/>
            <w:tcBorders>
              <w:top w:val="nil"/>
              <w:left w:val="nil"/>
              <w:bottom w:val="nil"/>
              <w:right w:val="nil"/>
            </w:tcBorders>
            <w:shd w:val="clear" w:color="auto" w:fill="FFFFFF"/>
            <w:vAlign w:val="bottom"/>
          </w:tcPr>
          <w:p w14:paraId="38B06E0C" w14:textId="77777777" w:rsidR="00A031A6" w:rsidRDefault="00916FD0">
            <w:pPr>
              <w:jc w:val="right"/>
              <w:rPr>
                <w:color w:val="000000"/>
                <w:sz w:val="14"/>
                <w:szCs w:val="14"/>
              </w:rPr>
            </w:pPr>
            <w:r>
              <w:rPr>
                <w:color w:val="000000"/>
                <w:sz w:val="14"/>
                <w:szCs w:val="14"/>
              </w:rPr>
              <w:t>1,498,401</w:t>
            </w:r>
          </w:p>
        </w:tc>
        <w:tc>
          <w:tcPr>
            <w:tcW w:w="1254" w:type="dxa"/>
            <w:gridSpan w:val="2"/>
            <w:tcBorders>
              <w:top w:val="nil"/>
              <w:left w:val="nil"/>
              <w:bottom w:val="nil"/>
              <w:right w:val="nil"/>
            </w:tcBorders>
            <w:shd w:val="clear" w:color="auto" w:fill="FFFFFF"/>
            <w:vAlign w:val="bottom"/>
          </w:tcPr>
          <w:p w14:paraId="637A8262" w14:textId="77777777" w:rsidR="00A031A6" w:rsidRDefault="00916FD0">
            <w:pPr>
              <w:jc w:val="right"/>
              <w:rPr>
                <w:color w:val="000000"/>
                <w:sz w:val="14"/>
                <w:szCs w:val="14"/>
              </w:rPr>
            </w:pPr>
            <w:r>
              <w:rPr>
                <w:color w:val="000000"/>
                <w:sz w:val="14"/>
                <w:szCs w:val="14"/>
              </w:rPr>
              <w:t>3,288,912</w:t>
            </w:r>
          </w:p>
        </w:tc>
        <w:tc>
          <w:tcPr>
            <w:tcW w:w="995" w:type="dxa"/>
            <w:tcBorders>
              <w:top w:val="nil"/>
              <w:left w:val="nil"/>
              <w:bottom w:val="nil"/>
              <w:right w:val="nil"/>
            </w:tcBorders>
            <w:shd w:val="clear" w:color="auto" w:fill="FFFFFF"/>
            <w:vAlign w:val="bottom"/>
          </w:tcPr>
          <w:p w14:paraId="6DE8DEC9" w14:textId="77777777" w:rsidR="00A031A6" w:rsidRDefault="00916FD0">
            <w:pPr>
              <w:jc w:val="right"/>
              <w:rPr>
                <w:color w:val="000000"/>
                <w:sz w:val="14"/>
                <w:szCs w:val="14"/>
              </w:rPr>
            </w:pPr>
            <w:r>
              <w:rPr>
                <w:color w:val="000000"/>
                <w:sz w:val="14"/>
                <w:szCs w:val="14"/>
              </w:rPr>
              <w:t>20,977,616</w:t>
            </w:r>
          </w:p>
        </w:tc>
        <w:tc>
          <w:tcPr>
            <w:tcW w:w="986" w:type="dxa"/>
            <w:gridSpan w:val="2"/>
            <w:tcBorders>
              <w:top w:val="nil"/>
              <w:left w:val="nil"/>
              <w:bottom w:val="nil"/>
              <w:right w:val="nil"/>
            </w:tcBorders>
            <w:shd w:val="clear" w:color="auto" w:fill="FFFFFF"/>
            <w:vAlign w:val="bottom"/>
          </w:tcPr>
          <w:p w14:paraId="19B7C885" w14:textId="77777777" w:rsidR="00A031A6" w:rsidRDefault="00916FD0">
            <w:pPr>
              <w:jc w:val="right"/>
              <w:rPr>
                <w:color w:val="000000"/>
                <w:sz w:val="14"/>
                <w:szCs w:val="14"/>
              </w:rPr>
            </w:pPr>
            <w:r>
              <w:rPr>
                <w:color w:val="000000"/>
                <w:sz w:val="14"/>
                <w:szCs w:val="14"/>
              </w:rPr>
              <w:t>26%</w:t>
            </w:r>
          </w:p>
        </w:tc>
        <w:tc>
          <w:tcPr>
            <w:tcW w:w="1214" w:type="dxa"/>
            <w:gridSpan w:val="2"/>
            <w:tcBorders>
              <w:top w:val="nil"/>
              <w:left w:val="nil"/>
              <w:bottom w:val="nil"/>
              <w:right w:val="nil"/>
            </w:tcBorders>
            <w:shd w:val="clear" w:color="auto" w:fill="FFFFFF"/>
            <w:vAlign w:val="bottom"/>
          </w:tcPr>
          <w:p w14:paraId="3A9467C4" w14:textId="77777777" w:rsidR="00A031A6" w:rsidRDefault="00916FD0">
            <w:pPr>
              <w:jc w:val="right"/>
              <w:rPr>
                <w:color w:val="000000"/>
                <w:sz w:val="14"/>
                <w:szCs w:val="14"/>
              </w:rPr>
            </w:pPr>
            <w:r>
              <w:rPr>
                <w:color w:val="000000"/>
                <w:sz w:val="14"/>
                <w:szCs w:val="14"/>
              </w:rPr>
              <w:t>60,893,186</w:t>
            </w:r>
          </w:p>
        </w:tc>
        <w:tc>
          <w:tcPr>
            <w:tcW w:w="1216" w:type="dxa"/>
            <w:gridSpan w:val="2"/>
            <w:tcBorders>
              <w:top w:val="nil"/>
              <w:left w:val="nil"/>
              <w:bottom w:val="nil"/>
              <w:right w:val="nil"/>
            </w:tcBorders>
            <w:shd w:val="clear" w:color="auto" w:fill="FFFFFF"/>
            <w:vAlign w:val="bottom"/>
          </w:tcPr>
          <w:p w14:paraId="6A5D8EAF" w14:textId="77777777" w:rsidR="00A031A6" w:rsidRDefault="00916FD0">
            <w:pPr>
              <w:jc w:val="right"/>
              <w:rPr>
                <w:color w:val="000000"/>
                <w:sz w:val="14"/>
                <w:szCs w:val="14"/>
              </w:rPr>
            </w:pPr>
            <w:r>
              <w:rPr>
                <w:color w:val="000000"/>
                <w:sz w:val="14"/>
                <w:szCs w:val="14"/>
              </w:rPr>
              <w:t>74%</w:t>
            </w:r>
          </w:p>
        </w:tc>
        <w:tc>
          <w:tcPr>
            <w:tcW w:w="988" w:type="dxa"/>
            <w:gridSpan w:val="2"/>
            <w:tcBorders>
              <w:top w:val="nil"/>
              <w:left w:val="nil"/>
              <w:bottom w:val="nil"/>
              <w:right w:val="nil"/>
            </w:tcBorders>
            <w:shd w:val="clear" w:color="auto" w:fill="FFFFFF"/>
            <w:vAlign w:val="bottom"/>
          </w:tcPr>
          <w:p w14:paraId="2237D087" w14:textId="77777777" w:rsidR="00A031A6" w:rsidRDefault="00916FD0">
            <w:pPr>
              <w:jc w:val="right"/>
              <w:rPr>
                <w:color w:val="000000"/>
                <w:sz w:val="14"/>
                <w:szCs w:val="14"/>
              </w:rPr>
            </w:pPr>
            <w:r>
              <w:rPr>
                <w:color w:val="000000"/>
                <w:sz w:val="14"/>
                <w:szCs w:val="14"/>
              </w:rPr>
              <w:t>110%</w:t>
            </w:r>
          </w:p>
        </w:tc>
        <w:tc>
          <w:tcPr>
            <w:tcW w:w="1426" w:type="dxa"/>
            <w:gridSpan w:val="2"/>
            <w:tcBorders>
              <w:top w:val="nil"/>
              <w:left w:val="nil"/>
              <w:bottom w:val="nil"/>
              <w:right w:val="nil"/>
            </w:tcBorders>
            <w:shd w:val="clear" w:color="auto" w:fill="FFFFFF"/>
            <w:vAlign w:val="bottom"/>
          </w:tcPr>
          <w:p w14:paraId="524795AC" w14:textId="77777777" w:rsidR="00A031A6" w:rsidRDefault="00916FD0">
            <w:pPr>
              <w:jc w:val="right"/>
              <w:rPr>
                <w:color w:val="000000"/>
                <w:sz w:val="14"/>
                <w:szCs w:val="14"/>
              </w:rPr>
            </w:pPr>
            <w:r>
              <w:rPr>
                <w:color w:val="000000"/>
                <w:sz w:val="14"/>
                <w:szCs w:val="14"/>
              </w:rPr>
              <w:t>81,870,802</w:t>
            </w:r>
          </w:p>
        </w:tc>
        <w:tc>
          <w:tcPr>
            <w:tcW w:w="1070" w:type="dxa"/>
            <w:tcBorders>
              <w:top w:val="nil"/>
              <w:left w:val="nil"/>
              <w:bottom w:val="nil"/>
              <w:right w:val="nil"/>
            </w:tcBorders>
            <w:shd w:val="clear" w:color="auto" w:fill="FFFFFF"/>
            <w:vAlign w:val="bottom"/>
          </w:tcPr>
          <w:p w14:paraId="1F45BE07" w14:textId="77777777" w:rsidR="00A031A6" w:rsidRDefault="00916FD0">
            <w:pPr>
              <w:jc w:val="right"/>
              <w:rPr>
                <w:color w:val="000000"/>
                <w:sz w:val="14"/>
                <w:szCs w:val="14"/>
              </w:rPr>
            </w:pPr>
            <w:r>
              <w:rPr>
                <w:color w:val="000000"/>
                <w:sz w:val="14"/>
                <w:szCs w:val="14"/>
              </w:rPr>
              <w:t>0%</w:t>
            </w:r>
          </w:p>
        </w:tc>
      </w:tr>
      <w:tr w:rsidR="00A031A6" w14:paraId="26834302" w14:textId="77777777">
        <w:trPr>
          <w:trHeight w:val="57"/>
        </w:trPr>
        <w:tc>
          <w:tcPr>
            <w:tcW w:w="1560" w:type="dxa"/>
            <w:gridSpan w:val="2"/>
            <w:tcBorders>
              <w:top w:val="nil"/>
              <w:left w:val="nil"/>
              <w:bottom w:val="nil"/>
              <w:right w:val="nil"/>
            </w:tcBorders>
            <w:shd w:val="clear" w:color="auto" w:fill="FFFFFF"/>
            <w:vAlign w:val="bottom"/>
          </w:tcPr>
          <w:p w14:paraId="4B266ADA" w14:textId="77777777"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14:paraId="1BDE114D" w14:textId="77777777" w:rsidR="00A031A6" w:rsidRDefault="00916FD0">
            <w:pPr>
              <w:jc w:val="right"/>
              <w:rPr>
                <w:color w:val="000000"/>
                <w:sz w:val="14"/>
                <w:szCs w:val="14"/>
              </w:rPr>
            </w:pPr>
            <w:r>
              <w:rPr>
                <w:color w:val="000000"/>
                <w:sz w:val="14"/>
                <w:szCs w:val="14"/>
              </w:rPr>
              <w:t>92,817,384</w:t>
            </w:r>
          </w:p>
        </w:tc>
        <w:tc>
          <w:tcPr>
            <w:tcW w:w="1043" w:type="dxa"/>
            <w:gridSpan w:val="2"/>
            <w:tcBorders>
              <w:top w:val="nil"/>
              <w:left w:val="nil"/>
              <w:bottom w:val="nil"/>
              <w:right w:val="nil"/>
            </w:tcBorders>
            <w:shd w:val="clear" w:color="auto" w:fill="FFFFFF"/>
            <w:vAlign w:val="bottom"/>
          </w:tcPr>
          <w:p w14:paraId="314A843A" w14:textId="77777777" w:rsidR="00A031A6" w:rsidRDefault="00916FD0">
            <w:pPr>
              <w:jc w:val="right"/>
              <w:rPr>
                <w:color w:val="000000"/>
                <w:sz w:val="14"/>
                <w:szCs w:val="14"/>
              </w:rPr>
            </w:pPr>
            <w:r>
              <w:rPr>
                <w:color w:val="000000"/>
                <w:sz w:val="14"/>
                <w:szCs w:val="14"/>
              </w:rPr>
              <w:t>81,870,802</w:t>
            </w:r>
          </w:p>
        </w:tc>
        <w:tc>
          <w:tcPr>
            <w:tcW w:w="967" w:type="dxa"/>
            <w:gridSpan w:val="2"/>
            <w:tcBorders>
              <w:top w:val="nil"/>
              <w:left w:val="nil"/>
              <w:bottom w:val="nil"/>
              <w:right w:val="nil"/>
            </w:tcBorders>
            <w:shd w:val="clear" w:color="auto" w:fill="FFFFFF"/>
            <w:vAlign w:val="bottom"/>
          </w:tcPr>
          <w:p w14:paraId="12BF62F7" w14:textId="77777777" w:rsidR="00A031A6" w:rsidRDefault="00916FD0">
            <w:pPr>
              <w:jc w:val="right"/>
              <w:rPr>
                <w:color w:val="000000"/>
                <w:sz w:val="14"/>
                <w:szCs w:val="14"/>
              </w:rPr>
            </w:pPr>
            <w:r>
              <w:rPr>
                <w:color w:val="000000"/>
                <w:sz w:val="14"/>
                <w:szCs w:val="14"/>
              </w:rPr>
              <w:t>16,404,636</w:t>
            </w:r>
          </w:p>
        </w:tc>
        <w:tc>
          <w:tcPr>
            <w:tcW w:w="1510" w:type="dxa"/>
            <w:gridSpan w:val="2"/>
            <w:tcBorders>
              <w:top w:val="nil"/>
              <w:left w:val="nil"/>
              <w:bottom w:val="nil"/>
              <w:right w:val="nil"/>
            </w:tcBorders>
            <w:shd w:val="clear" w:color="auto" w:fill="FFFFFF"/>
            <w:vAlign w:val="bottom"/>
          </w:tcPr>
          <w:p w14:paraId="5344528E" w14:textId="77777777" w:rsidR="00A031A6" w:rsidRDefault="00916FD0">
            <w:pPr>
              <w:jc w:val="right"/>
              <w:rPr>
                <w:color w:val="000000"/>
                <w:sz w:val="14"/>
                <w:szCs w:val="14"/>
              </w:rPr>
            </w:pPr>
            <w:r>
              <w:rPr>
                <w:color w:val="000000"/>
                <w:sz w:val="14"/>
                <w:szCs w:val="14"/>
              </w:rPr>
              <w:t>1,398,508</w:t>
            </w:r>
          </w:p>
        </w:tc>
        <w:tc>
          <w:tcPr>
            <w:tcW w:w="1254" w:type="dxa"/>
            <w:gridSpan w:val="2"/>
            <w:tcBorders>
              <w:top w:val="nil"/>
              <w:left w:val="nil"/>
              <w:bottom w:val="nil"/>
              <w:right w:val="nil"/>
            </w:tcBorders>
            <w:shd w:val="clear" w:color="auto" w:fill="FFFFFF"/>
            <w:vAlign w:val="bottom"/>
          </w:tcPr>
          <w:p w14:paraId="7F1FED98" w14:textId="77777777" w:rsidR="00A031A6" w:rsidRDefault="00916FD0">
            <w:pPr>
              <w:jc w:val="right"/>
              <w:rPr>
                <w:color w:val="000000"/>
                <w:sz w:val="14"/>
                <w:szCs w:val="14"/>
              </w:rPr>
            </w:pPr>
            <w:r>
              <w:rPr>
                <w:color w:val="000000"/>
                <w:sz w:val="14"/>
                <w:szCs w:val="14"/>
              </w:rPr>
              <w:t>4,059,546</w:t>
            </w:r>
          </w:p>
        </w:tc>
        <w:tc>
          <w:tcPr>
            <w:tcW w:w="995" w:type="dxa"/>
            <w:tcBorders>
              <w:top w:val="nil"/>
              <w:left w:val="nil"/>
              <w:bottom w:val="nil"/>
              <w:right w:val="nil"/>
            </w:tcBorders>
            <w:shd w:val="clear" w:color="auto" w:fill="FFFFFF"/>
            <w:vAlign w:val="bottom"/>
          </w:tcPr>
          <w:p w14:paraId="06EAE286" w14:textId="77777777" w:rsidR="00A031A6" w:rsidRDefault="00916FD0">
            <w:pPr>
              <w:jc w:val="right"/>
              <w:rPr>
                <w:color w:val="000000"/>
                <w:sz w:val="14"/>
                <w:szCs w:val="14"/>
              </w:rPr>
            </w:pPr>
            <w:r>
              <w:rPr>
                <w:color w:val="000000"/>
                <w:sz w:val="14"/>
                <w:szCs w:val="14"/>
              </w:rPr>
              <w:t>19,579,108</w:t>
            </w:r>
          </w:p>
        </w:tc>
        <w:tc>
          <w:tcPr>
            <w:tcW w:w="986" w:type="dxa"/>
            <w:gridSpan w:val="2"/>
            <w:tcBorders>
              <w:top w:val="nil"/>
              <w:left w:val="nil"/>
              <w:bottom w:val="nil"/>
              <w:right w:val="nil"/>
            </w:tcBorders>
            <w:shd w:val="clear" w:color="auto" w:fill="FFFFFF"/>
            <w:vAlign w:val="bottom"/>
          </w:tcPr>
          <w:p w14:paraId="7C00DD5B" w14:textId="77777777" w:rsidR="00A031A6" w:rsidRDefault="00916FD0">
            <w:pPr>
              <w:jc w:val="right"/>
              <w:rPr>
                <w:color w:val="000000"/>
                <w:sz w:val="14"/>
                <w:szCs w:val="14"/>
              </w:rPr>
            </w:pPr>
            <w:r>
              <w:rPr>
                <w:color w:val="000000"/>
                <w:sz w:val="14"/>
                <w:szCs w:val="14"/>
              </w:rPr>
              <w:t>21%</w:t>
            </w:r>
          </w:p>
        </w:tc>
        <w:tc>
          <w:tcPr>
            <w:tcW w:w="1214" w:type="dxa"/>
            <w:gridSpan w:val="2"/>
            <w:tcBorders>
              <w:top w:val="nil"/>
              <w:left w:val="nil"/>
              <w:bottom w:val="nil"/>
              <w:right w:val="nil"/>
            </w:tcBorders>
            <w:shd w:val="clear" w:color="auto" w:fill="FFFFFF"/>
            <w:vAlign w:val="bottom"/>
          </w:tcPr>
          <w:p w14:paraId="4838F27B" w14:textId="77777777" w:rsidR="00A031A6" w:rsidRDefault="00916FD0">
            <w:pPr>
              <w:jc w:val="right"/>
              <w:rPr>
                <w:color w:val="000000"/>
                <w:sz w:val="14"/>
                <w:szCs w:val="14"/>
              </w:rPr>
            </w:pPr>
            <w:r>
              <w:rPr>
                <w:color w:val="000000"/>
                <w:sz w:val="14"/>
                <w:szCs w:val="14"/>
              </w:rPr>
              <w:t>73,238,276</w:t>
            </w:r>
          </w:p>
        </w:tc>
        <w:tc>
          <w:tcPr>
            <w:tcW w:w="1216" w:type="dxa"/>
            <w:gridSpan w:val="2"/>
            <w:tcBorders>
              <w:top w:val="nil"/>
              <w:left w:val="nil"/>
              <w:bottom w:val="nil"/>
              <w:right w:val="nil"/>
            </w:tcBorders>
            <w:shd w:val="clear" w:color="auto" w:fill="FFFFFF"/>
            <w:vAlign w:val="bottom"/>
          </w:tcPr>
          <w:p w14:paraId="4BBB2D6D" w14:textId="77777777" w:rsidR="00A031A6" w:rsidRDefault="00916FD0">
            <w:pPr>
              <w:jc w:val="right"/>
              <w:rPr>
                <w:color w:val="000000"/>
                <w:sz w:val="14"/>
                <w:szCs w:val="14"/>
              </w:rPr>
            </w:pPr>
            <w:r>
              <w:rPr>
                <w:color w:val="000000"/>
                <w:sz w:val="14"/>
                <w:szCs w:val="14"/>
              </w:rPr>
              <w:t>79%</w:t>
            </w:r>
          </w:p>
        </w:tc>
        <w:tc>
          <w:tcPr>
            <w:tcW w:w="988" w:type="dxa"/>
            <w:gridSpan w:val="2"/>
            <w:tcBorders>
              <w:top w:val="nil"/>
              <w:left w:val="nil"/>
              <w:bottom w:val="nil"/>
              <w:right w:val="nil"/>
            </w:tcBorders>
            <w:shd w:val="clear" w:color="auto" w:fill="FFFFFF"/>
            <w:vAlign w:val="bottom"/>
          </w:tcPr>
          <w:p w14:paraId="66CA9925" w14:textId="77777777" w:rsidR="00A031A6" w:rsidRDefault="00916FD0">
            <w:pPr>
              <w:jc w:val="right"/>
              <w:rPr>
                <w:color w:val="000000"/>
                <w:sz w:val="14"/>
                <w:szCs w:val="14"/>
              </w:rPr>
            </w:pPr>
            <w:r>
              <w:rPr>
                <w:color w:val="000000"/>
                <w:sz w:val="14"/>
                <w:szCs w:val="14"/>
              </w:rPr>
              <w:t>124%</w:t>
            </w:r>
          </w:p>
        </w:tc>
        <w:tc>
          <w:tcPr>
            <w:tcW w:w="1426" w:type="dxa"/>
            <w:gridSpan w:val="2"/>
            <w:tcBorders>
              <w:top w:val="nil"/>
              <w:left w:val="nil"/>
              <w:bottom w:val="nil"/>
              <w:right w:val="nil"/>
            </w:tcBorders>
            <w:shd w:val="clear" w:color="auto" w:fill="FFFFFF"/>
            <w:vAlign w:val="bottom"/>
          </w:tcPr>
          <w:p w14:paraId="05620586" w14:textId="77777777" w:rsidR="00A031A6" w:rsidRDefault="00916FD0">
            <w:pPr>
              <w:jc w:val="right"/>
              <w:rPr>
                <w:color w:val="000000"/>
                <w:sz w:val="14"/>
                <w:szCs w:val="14"/>
              </w:rPr>
            </w:pPr>
            <w:r>
              <w:rPr>
                <w:color w:val="000000"/>
                <w:sz w:val="14"/>
                <w:szCs w:val="14"/>
              </w:rPr>
              <w:t>89,700,467</w:t>
            </w:r>
          </w:p>
        </w:tc>
        <w:tc>
          <w:tcPr>
            <w:tcW w:w="1070" w:type="dxa"/>
            <w:tcBorders>
              <w:top w:val="nil"/>
              <w:left w:val="nil"/>
              <w:bottom w:val="nil"/>
              <w:right w:val="nil"/>
            </w:tcBorders>
            <w:shd w:val="clear" w:color="auto" w:fill="FFFFFF"/>
            <w:vAlign w:val="bottom"/>
          </w:tcPr>
          <w:p w14:paraId="1C7A9A6F" w14:textId="77777777" w:rsidR="00A031A6" w:rsidRDefault="00916FD0">
            <w:pPr>
              <w:jc w:val="right"/>
              <w:rPr>
                <w:color w:val="000000"/>
                <w:sz w:val="14"/>
                <w:szCs w:val="14"/>
              </w:rPr>
            </w:pPr>
            <w:r>
              <w:rPr>
                <w:color w:val="000000"/>
                <w:sz w:val="14"/>
                <w:szCs w:val="14"/>
              </w:rPr>
              <w:t>3%</w:t>
            </w:r>
          </w:p>
        </w:tc>
      </w:tr>
      <w:tr w:rsidR="00A031A6" w14:paraId="7483C205" w14:textId="77777777">
        <w:trPr>
          <w:trHeight w:val="57"/>
        </w:trPr>
        <w:tc>
          <w:tcPr>
            <w:tcW w:w="1560" w:type="dxa"/>
            <w:gridSpan w:val="2"/>
            <w:tcBorders>
              <w:top w:val="nil"/>
              <w:left w:val="nil"/>
              <w:bottom w:val="nil"/>
              <w:right w:val="nil"/>
            </w:tcBorders>
            <w:shd w:val="clear" w:color="auto" w:fill="FFFFFF"/>
            <w:vAlign w:val="bottom"/>
          </w:tcPr>
          <w:p w14:paraId="14AE5D6D" w14:textId="77777777"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14:paraId="0042CCD5" w14:textId="77777777" w:rsidR="00A031A6" w:rsidRDefault="00916FD0">
            <w:pPr>
              <w:jc w:val="right"/>
              <w:rPr>
                <w:color w:val="000000"/>
                <w:sz w:val="14"/>
                <w:szCs w:val="14"/>
              </w:rPr>
            </w:pPr>
            <w:r>
              <w:rPr>
                <w:color w:val="000000"/>
                <w:sz w:val="14"/>
                <w:szCs w:val="14"/>
              </w:rPr>
              <w:t>104,753,518</w:t>
            </w:r>
          </w:p>
        </w:tc>
        <w:tc>
          <w:tcPr>
            <w:tcW w:w="1043" w:type="dxa"/>
            <w:gridSpan w:val="2"/>
            <w:tcBorders>
              <w:top w:val="nil"/>
              <w:left w:val="nil"/>
              <w:bottom w:val="nil"/>
              <w:right w:val="nil"/>
            </w:tcBorders>
            <w:shd w:val="clear" w:color="auto" w:fill="FFFFFF"/>
            <w:vAlign w:val="bottom"/>
          </w:tcPr>
          <w:p w14:paraId="1DB8BDA1" w14:textId="77777777" w:rsidR="00A031A6" w:rsidRDefault="00916FD0">
            <w:pPr>
              <w:jc w:val="right"/>
              <w:rPr>
                <w:color w:val="000000"/>
                <w:sz w:val="14"/>
                <w:szCs w:val="14"/>
              </w:rPr>
            </w:pPr>
            <w:r>
              <w:rPr>
                <w:color w:val="000000"/>
                <w:sz w:val="14"/>
                <w:szCs w:val="14"/>
              </w:rPr>
              <w:t>92,817,384</w:t>
            </w:r>
          </w:p>
        </w:tc>
        <w:tc>
          <w:tcPr>
            <w:tcW w:w="967" w:type="dxa"/>
            <w:gridSpan w:val="2"/>
            <w:tcBorders>
              <w:top w:val="nil"/>
              <w:left w:val="nil"/>
              <w:bottom w:val="nil"/>
              <w:right w:val="nil"/>
            </w:tcBorders>
            <w:shd w:val="clear" w:color="auto" w:fill="FFFFFF"/>
            <w:vAlign w:val="bottom"/>
          </w:tcPr>
          <w:p w14:paraId="534F9072" w14:textId="77777777" w:rsidR="00A031A6" w:rsidRDefault="00916FD0">
            <w:pPr>
              <w:jc w:val="right"/>
              <w:rPr>
                <w:color w:val="000000"/>
                <w:sz w:val="14"/>
                <w:szCs w:val="14"/>
              </w:rPr>
            </w:pPr>
            <w:r>
              <w:rPr>
                <w:color w:val="000000"/>
                <w:sz w:val="14"/>
                <w:szCs w:val="14"/>
              </w:rPr>
              <w:t>18,123,959</w:t>
            </w:r>
          </w:p>
        </w:tc>
        <w:tc>
          <w:tcPr>
            <w:tcW w:w="1510" w:type="dxa"/>
            <w:gridSpan w:val="2"/>
            <w:tcBorders>
              <w:top w:val="nil"/>
              <w:left w:val="nil"/>
              <w:bottom w:val="nil"/>
              <w:right w:val="nil"/>
            </w:tcBorders>
            <w:shd w:val="clear" w:color="auto" w:fill="FFFFFF"/>
            <w:vAlign w:val="bottom"/>
          </w:tcPr>
          <w:p w14:paraId="2E654E2A" w14:textId="77777777" w:rsidR="00A031A6" w:rsidRDefault="00916FD0">
            <w:pPr>
              <w:jc w:val="right"/>
              <w:rPr>
                <w:color w:val="000000"/>
                <w:sz w:val="14"/>
                <w:szCs w:val="14"/>
              </w:rPr>
            </w:pPr>
            <w:r>
              <w:rPr>
                <w:color w:val="000000"/>
                <w:sz w:val="14"/>
                <w:szCs w:val="14"/>
              </w:rPr>
              <w:t>1,305,274</w:t>
            </w:r>
          </w:p>
        </w:tc>
        <w:tc>
          <w:tcPr>
            <w:tcW w:w="1254" w:type="dxa"/>
            <w:gridSpan w:val="2"/>
            <w:tcBorders>
              <w:top w:val="nil"/>
              <w:left w:val="nil"/>
              <w:bottom w:val="nil"/>
              <w:right w:val="nil"/>
            </w:tcBorders>
            <w:shd w:val="clear" w:color="auto" w:fill="FFFFFF"/>
            <w:vAlign w:val="bottom"/>
          </w:tcPr>
          <w:p w14:paraId="7F74788C" w14:textId="77777777" w:rsidR="00A031A6" w:rsidRDefault="00916FD0">
            <w:pPr>
              <w:jc w:val="right"/>
              <w:rPr>
                <w:color w:val="000000"/>
                <w:sz w:val="14"/>
                <w:szCs w:val="14"/>
              </w:rPr>
            </w:pPr>
            <w:r>
              <w:rPr>
                <w:color w:val="000000"/>
                <w:sz w:val="14"/>
                <w:szCs w:val="14"/>
              </w:rPr>
              <w:t>4,882,552</w:t>
            </w:r>
          </w:p>
        </w:tc>
        <w:tc>
          <w:tcPr>
            <w:tcW w:w="995" w:type="dxa"/>
            <w:tcBorders>
              <w:top w:val="nil"/>
              <w:left w:val="nil"/>
              <w:bottom w:val="nil"/>
              <w:right w:val="nil"/>
            </w:tcBorders>
            <w:shd w:val="clear" w:color="auto" w:fill="FFFFFF"/>
            <w:vAlign w:val="bottom"/>
          </w:tcPr>
          <w:p w14:paraId="32418427" w14:textId="77777777" w:rsidR="00A031A6" w:rsidRDefault="00916FD0">
            <w:pPr>
              <w:jc w:val="right"/>
              <w:rPr>
                <w:color w:val="000000"/>
                <w:sz w:val="14"/>
                <w:szCs w:val="14"/>
              </w:rPr>
            </w:pPr>
            <w:r>
              <w:rPr>
                <w:color w:val="000000"/>
                <w:sz w:val="14"/>
                <w:szCs w:val="14"/>
              </w:rPr>
              <w:t>18,273,834</w:t>
            </w:r>
          </w:p>
        </w:tc>
        <w:tc>
          <w:tcPr>
            <w:tcW w:w="986" w:type="dxa"/>
            <w:gridSpan w:val="2"/>
            <w:tcBorders>
              <w:top w:val="nil"/>
              <w:left w:val="nil"/>
              <w:bottom w:val="nil"/>
              <w:right w:val="nil"/>
            </w:tcBorders>
            <w:shd w:val="clear" w:color="auto" w:fill="FFFFFF"/>
            <w:vAlign w:val="bottom"/>
          </w:tcPr>
          <w:p w14:paraId="16779839" w14:textId="77777777" w:rsidR="00A031A6" w:rsidRDefault="00916FD0">
            <w:pPr>
              <w:jc w:val="right"/>
              <w:rPr>
                <w:color w:val="000000"/>
                <w:sz w:val="14"/>
                <w:szCs w:val="14"/>
              </w:rPr>
            </w:pPr>
            <w:r>
              <w:rPr>
                <w:color w:val="000000"/>
                <w:sz w:val="14"/>
                <w:szCs w:val="14"/>
              </w:rPr>
              <w:t>17%</w:t>
            </w:r>
          </w:p>
        </w:tc>
        <w:tc>
          <w:tcPr>
            <w:tcW w:w="1214" w:type="dxa"/>
            <w:gridSpan w:val="2"/>
            <w:tcBorders>
              <w:top w:val="nil"/>
              <w:left w:val="nil"/>
              <w:bottom w:val="nil"/>
              <w:right w:val="nil"/>
            </w:tcBorders>
            <w:shd w:val="clear" w:color="auto" w:fill="FFFFFF"/>
            <w:vAlign w:val="bottom"/>
          </w:tcPr>
          <w:p w14:paraId="05178433" w14:textId="77777777" w:rsidR="00A031A6" w:rsidRDefault="00916FD0">
            <w:pPr>
              <w:jc w:val="right"/>
              <w:rPr>
                <w:color w:val="000000"/>
                <w:sz w:val="14"/>
                <w:szCs w:val="14"/>
              </w:rPr>
            </w:pPr>
            <w:r>
              <w:rPr>
                <w:color w:val="000000"/>
                <w:sz w:val="14"/>
                <w:szCs w:val="14"/>
              </w:rPr>
              <w:t>86,479,683</w:t>
            </w:r>
          </w:p>
        </w:tc>
        <w:tc>
          <w:tcPr>
            <w:tcW w:w="1216" w:type="dxa"/>
            <w:gridSpan w:val="2"/>
            <w:tcBorders>
              <w:top w:val="nil"/>
              <w:left w:val="nil"/>
              <w:bottom w:val="nil"/>
              <w:right w:val="nil"/>
            </w:tcBorders>
            <w:shd w:val="clear" w:color="auto" w:fill="FFFFFF"/>
            <w:vAlign w:val="bottom"/>
          </w:tcPr>
          <w:p w14:paraId="7237428F" w14:textId="77777777" w:rsidR="00A031A6" w:rsidRDefault="00916FD0">
            <w:pPr>
              <w:jc w:val="right"/>
              <w:rPr>
                <w:color w:val="000000"/>
                <w:sz w:val="14"/>
                <w:szCs w:val="14"/>
              </w:rPr>
            </w:pPr>
            <w:r>
              <w:rPr>
                <w:color w:val="000000"/>
                <w:sz w:val="14"/>
                <w:szCs w:val="14"/>
              </w:rPr>
              <w:t>83%</w:t>
            </w:r>
          </w:p>
        </w:tc>
        <w:tc>
          <w:tcPr>
            <w:tcW w:w="988" w:type="dxa"/>
            <w:gridSpan w:val="2"/>
            <w:tcBorders>
              <w:top w:val="nil"/>
              <w:left w:val="nil"/>
              <w:bottom w:val="nil"/>
              <w:right w:val="nil"/>
            </w:tcBorders>
            <w:shd w:val="clear" w:color="auto" w:fill="FFFFFF"/>
            <w:vAlign w:val="bottom"/>
          </w:tcPr>
          <w:p w14:paraId="4D016454" w14:textId="77777777" w:rsidR="00A031A6" w:rsidRDefault="00916FD0">
            <w:pPr>
              <w:jc w:val="right"/>
              <w:rPr>
                <w:color w:val="000000"/>
                <w:sz w:val="14"/>
                <w:szCs w:val="14"/>
              </w:rPr>
            </w:pPr>
            <w:r>
              <w:rPr>
                <w:color w:val="000000"/>
                <w:sz w:val="14"/>
                <w:szCs w:val="14"/>
              </w:rPr>
              <w:t>139%</w:t>
            </w:r>
          </w:p>
        </w:tc>
        <w:tc>
          <w:tcPr>
            <w:tcW w:w="1426" w:type="dxa"/>
            <w:gridSpan w:val="2"/>
            <w:tcBorders>
              <w:top w:val="nil"/>
              <w:left w:val="nil"/>
              <w:bottom w:val="nil"/>
              <w:right w:val="nil"/>
            </w:tcBorders>
            <w:shd w:val="clear" w:color="auto" w:fill="FFFFFF"/>
            <w:vAlign w:val="bottom"/>
          </w:tcPr>
          <w:p w14:paraId="4972D86F" w14:textId="77777777" w:rsidR="00A031A6" w:rsidRDefault="00916FD0">
            <w:pPr>
              <w:jc w:val="right"/>
              <w:rPr>
                <w:color w:val="000000"/>
                <w:sz w:val="14"/>
                <w:szCs w:val="14"/>
              </w:rPr>
            </w:pPr>
            <w:r>
              <w:rPr>
                <w:color w:val="000000"/>
                <w:sz w:val="14"/>
                <w:szCs w:val="14"/>
              </w:rPr>
              <w:t>90,445,991</w:t>
            </w:r>
          </w:p>
        </w:tc>
        <w:tc>
          <w:tcPr>
            <w:tcW w:w="1070" w:type="dxa"/>
            <w:tcBorders>
              <w:top w:val="nil"/>
              <w:left w:val="nil"/>
              <w:bottom w:val="nil"/>
              <w:right w:val="nil"/>
            </w:tcBorders>
            <w:shd w:val="clear" w:color="auto" w:fill="FFFFFF"/>
            <w:vAlign w:val="bottom"/>
          </w:tcPr>
          <w:p w14:paraId="55E60612" w14:textId="77777777" w:rsidR="00A031A6" w:rsidRDefault="00916FD0">
            <w:pPr>
              <w:jc w:val="right"/>
              <w:rPr>
                <w:color w:val="000000"/>
                <w:sz w:val="14"/>
                <w:szCs w:val="14"/>
              </w:rPr>
            </w:pPr>
            <w:r>
              <w:rPr>
                <w:color w:val="000000"/>
                <w:sz w:val="14"/>
                <w:szCs w:val="14"/>
              </w:rPr>
              <w:t>14%</w:t>
            </w:r>
          </w:p>
        </w:tc>
      </w:tr>
      <w:tr w:rsidR="00A031A6" w14:paraId="417BF490" w14:textId="77777777">
        <w:trPr>
          <w:trHeight w:val="57"/>
        </w:trPr>
        <w:tc>
          <w:tcPr>
            <w:tcW w:w="1560" w:type="dxa"/>
            <w:gridSpan w:val="2"/>
            <w:tcBorders>
              <w:top w:val="nil"/>
              <w:left w:val="nil"/>
              <w:bottom w:val="nil"/>
              <w:right w:val="nil"/>
            </w:tcBorders>
            <w:shd w:val="clear" w:color="auto" w:fill="FFFFFF"/>
            <w:vAlign w:val="bottom"/>
          </w:tcPr>
          <w:p w14:paraId="7DB71FB7" w14:textId="77777777"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14:paraId="7548B0E1" w14:textId="77777777" w:rsidR="00A031A6" w:rsidRDefault="00916FD0">
            <w:pPr>
              <w:jc w:val="right"/>
              <w:rPr>
                <w:color w:val="000000"/>
                <w:sz w:val="14"/>
                <w:szCs w:val="14"/>
              </w:rPr>
            </w:pPr>
            <w:r>
              <w:rPr>
                <w:color w:val="000000"/>
                <w:sz w:val="14"/>
                <w:szCs w:val="14"/>
              </w:rPr>
              <w:t>117,793,429</w:t>
            </w:r>
          </w:p>
        </w:tc>
        <w:tc>
          <w:tcPr>
            <w:tcW w:w="1043" w:type="dxa"/>
            <w:gridSpan w:val="2"/>
            <w:tcBorders>
              <w:top w:val="nil"/>
              <w:left w:val="nil"/>
              <w:bottom w:val="nil"/>
              <w:right w:val="nil"/>
            </w:tcBorders>
            <w:shd w:val="clear" w:color="auto" w:fill="FFFFFF"/>
            <w:vAlign w:val="bottom"/>
          </w:tcPr>
          <w:p w14:paraId="00B69C42" w14:textId="77777777" w:rsidR="00A031A6" w:rsidRDefault="00916FD0">
            <w:pPr>
              <w:jc w:val="right"/>
              <w:rPr>
                <w:color w:val="000000"/>
                <w:sz w:val="14"/>
                <w:szCs w:val="14"/>
              </w:rPr>
            </w:pPr>
            <w:r>
              <w:rPr>
                <w:color w:val="000000"/>
                <w:sz w:val="14"/>
                <w:szCs w:val="14"/>
              </w:rPr>
              <w:t>104,753,518</w:t>
            </w:r>
          </w:p>
        </w:tc>
        <w:tc>
          <w:tcPr>
            <w:tcW w:w="967" w:type="dxa"/>
            <w:gridSpan w:val="2"/>
            <w:tcBorders>
              <w:top w:val="nil"/>
              <w:left w:val="nil"/>
              <w:bottom w:val="nil"/>
              <w:right w:val="nil"/>
            </w:tcBorders>
            <w:shd w:val="clear" w:color="auto" w:fill="FFFFFF"/>
            <w:vAlign w:val="bottom"/>
          </w:tcPr>
          <w:p w14:paraId="78952E78" w14:textId="77777777" w:rsidR="00A031A6" w:rsidRDefault="00916FD0">
            <w:pPr>
              <w:jc w:val="right"/>
              <w:rPr>
                <w:color w:val="000000"/>
                <w:sz w:val="14"/>
                <w:szCs w:val="14"/>
              </w:rPr>
            </w:pPr>
            <w:r>
              <w:rPr>
                <w:color w:val="000000"/>
                <w:sz w:val="14"/>
                <w:szCs w:val="14"/>
              </w:rPr>
              <w:t>20,023,479</w:t>
            </w:r>
          </w:p>
        </w:tc>
        <w:tc>
          <w:tcPr>
            <w:tcW w:w="1510" w:type="dxa"/>
            <w:gridSpan w:val="2"/>
            <w:tcBorders>
              <w:top w:val="nil"/>
              <w:left w:val="nil"/>
              <w:bottom w:val="nil"/>
              <w:right w:val="nil"/>
            </w:tcBorders>
            <w:shd w:val="clear" w:color="auto" w:fill="FFFFFF"/>
            <w:vAlign w:val="bottom"/>
          </w:tcPr>
          <w:p w14:paraId="0E24AF07" w14:textId="77777777" w:rsidR="00A031A6" w:rsidRDefault="00916FD0">
            <w:pPr>
              <w:jc w:val="right"/>
              <w:rPr>
                <w:color w:val="000000"/>
                <w:sz w:val="14"/>
                <w:szCs w:val="14"/>
              </w:rPr>
            </w:pPr>
            <w:r>
              <w:rPr>
                <w:color w:val="000000"/>
                <w:sz w:val="14"/>
                <w:szCs w:val="14"/>
              </w:rPr>
              <w:t>1,218,256</w:t>
            </w:r>
          </w:p>
        </w:tc>
        <w:tc>
          <w:tcPr>
            <w:tcW w:w="1254" w:type="dxa"/>
            <w:gridSpan w:val="2"/>
            <w:tcBorders>
              <w:top w:val="nil"/>
              <w:left w:val="nil"/>
              <w:bottom w:val="nil"/>
              <w:right w:val="nil"/>
            </w:tcBorders>
            <w:shd w:val="clear" w:color="auto" w:fill="FFFFFF"/>
            <w:vAlign w:val="bottom"/>
          </w:tcPr>
          <w:p w14:paraId="305B611B" w14:textId="77777777" w:rsidR="00A031A6" w:rsidRDefault="00916FD0">
            <w:pPr>
              <w:jc w:val="right"/>
              <w:rPr>
                <w:color w:val="000000"/>
                <w:sz w:val="14"/>
                <w:szCs w:val="14"/>
              </w:rPr>
            </w:pPr>
            <w:r>
              <w:rPr>
                <w:color w:val="000000"/>
                <w:sz w:val="14"/>
                <w:szCs w:val="14"/>
              </w:rPr>
              <w:t>5,765,312</w:t>
            </w:r>
          </w:p>
        </w:tc>
        <w:tc>
          <w:tcPr>
            <w:tcW w:w="995" w:type="dxa"/>
            <w:tcBorders>
              <w:top w:val="nil"/>
              <w:left w:val="nil"/>
              <w:bottom w:val="nil"/>
              <w:right w:val="nil"/>
            </w:tcBorders>
            <w:shd w:val="clear" w:color="auto" w:fill="FFFFFF"/>
            <w:vAlign w:val="bottom"/>
          </w:tcPr>
          <w:p w14:paraId="3CA9202D" w14:textId="77777777" w:rsidR="00A031A6" w:rsidRDefault="00916FD0">
            <w:pPr>
              <w:jc w:val="right"/>
              <w:rPr>
                <w:color w:val="000000"/>
                <w:sz w:val="14"/>
                <w:szCs w:val="14"/>
              </w:rPr>
            </w:pPr>
            <w:r>
              <w:rPr>
                <w:color w:val="000000"/>
                <w:sz w:val="14"/>
                <w:szCs w:val="14"/>
              </w:rPr>
              <w:t>17,055,579</w:t>
            </w:r>
          </w:p>
        </w:tc>
        <w:tc>
          <w:tcPr>
            <w:tcW w:w="986" w:type="dxa"/>
            <w:gridSpan w:val="2"/>
            <w:tcBorders>
              <w:top w:val="nil"/>
              <w:left w:val="nil"/>
              <w:bottom w:val="nil"/>
              <w:right w:val="nil"/>
            </w:tcBorders>
            <w:shd w:val="clear" w:color="auto" w:fill="FFFFFF"/>
            <w:vAlign w:val="bottom"/>
          </w:tcPr>
          <w:p w14:paraId="3F44303F" w14:textId="77777777" w:rsidR="00A031A6" w:rsidRDefault="00916FD0">
            <w:pPr>
              <w:jc w:val="right"/>
              <w:rPr>
                <w:color w:val="000000"/>
                <w:sz w:val="14"/>
                <w:szCs w:val="14"/>
              </w:rPr>
            </w:pPr>
            <w:r>
              <w:rPr>
                <w:color w:val="000000"/>
                <w:sz w:val="14"/>
                <w:szCs w:val="14"/>
              </w:rPr>
              <w:t>14%</w:t>
            </w:r>
          </w:p>
        </w:tc>
        <w:tc>
          <w:tcPr>
            <w:tcW w:w="1214" w:type="dxa"/>
            <w:gridSpan w:val="2"/>
            <w:tcBorders>
              <w:top w:val="nil"/>
              <w:left w:val="nil"/>
              <w:bottom w:val="nil"/>
              <w:right w:val="nil"/>
            </w:tcBorders>
            <w:shd w:val="clear" w:color="auto" w:fill="FFFFFF"/>
            <w:vAlign w:val="bottom"/>
          </w:tcPr>
          <w:p w14:paraId="35FBA8D2" w14:textId="77777777" w:rsidR="00A031A6" w:rsidRDefault="00916FD0">
            <w:pPr>
              <w:jc w:val="right"/>
              <w:rPr>
                <w:color w:val="000000"/>
                <w:sz w:val="14"/>
                <w:szCs w:val="14"/>
              </w:rPr>
            </w:pPr>
            <w:r>
              <w:rPr>
                <w:color w:val="000000"/>
                <w:sz w:val="14"/>
                <w:szCs w:val="14"/>
              </w:rPr>
              <w:t>100,737,850</w:t>
            </w:r>
          </w:p>
        </w:tc>
        <w:tc>
          <w:tcPr>
            <w:tcW w:w="1216" w:type="dxa"/>
            <w:gridSpan w:val="2"/>
            <w:tcBorders>
              <w:top w:val="nil"/>
              <w:left w:val="nil"/>
              <w:bottom w:val="nil"/>
              <w:right w:val="nil"/>
            </w:tcBorders>
            <w:shd w:val="clear" w:color="auto" w:fill="FFFFFF"/>
            <w:vAlign w:val="bottom"/>
          </w:tcPr>
          <w:p w14:paraId="12884227" w14:textId="77777777" w:rsidR="00A031A6" w:rsidRDefault="00916FD0">
            <w:pPr>
              <w:jc w:val="right"/>
              <w:rPr>
                <w:color w:val="000000"/>
                <w:sz w:val="14"/>
                <w:szCs w:val="14"/>
              </w:rPr>
            </w:pPr>
            <w:r>
              <w:rPr>
                <w:color w:val="000000"/>
                <w:sz w:val="14"/>
                <w:szCs w:val="14"/>
              </w:rPr>
              <w:t>86%</w:t>
            </w:r>
          </w:p>
        </w:tc>
        <w:tc>
          <w:tcPr>
            <w:tcW w:w="988" w:type="dxa"/>
            <w:gridSpan w:val="2"/>
            <w:tcBorders>
              <w:top w:val="nil"/>
              <w:left w:val="nil"/>
              <w:bottom w:val="nil"/>
              <w:right w:val="nil"/>
            </w:tcBorders>
            <w:shd w:val="clear" w:color="auto" w:fill="FFFFFF"/>
            <w:vAlign w:val="bottom"/>
          </w:tcPr>
          <w:p w14:paraId="105E9F0C" w14:textId="77777777" w:rsidR="00A031A6" w:rsidRDefault="00916FD0">
            <w:pPr>
              <w:jc w:val="right"/>
              <w:rPr>
                <w:color w:val="000000"/>
                <w:sz w:val="14"/>
                <w:szCs w:val="14"/>
              </w:rPr>
            </w:pPr>
            <w:r>
              <w:rPr>
                <w:color w:val="000000"/>
                <w:sz w:val="14"/>
                <w:szCs w:val="14"/>
              </w:rPr>
              <w:t>155%</w:t>
            </w:r>
          </w:p>
        </w:tc>
        <w:tc>
          <w:tcPr>
            <w:tcW w:w="1426" w:type="dxa"/>
            <w:gridSpan w:val="2"/>
            <w:tcBorders>
              <w:top w:val="nil"/>
              <w:left w:val="nil"/>
              <w:bottom w:val="nil"/>
              <w:right w:val="nil"/>
            </w:tcBorders>
            <w:shd w:val="clear" w:color="auto" w:fill="FFFFFF"/>
            <w:vAlign w:val="bottom"/>
          </w:tcPr>
          <w:p w14:paraId="190850C6" w14:textId="77777777" w:rsidR="00A031A6" w:rsidRDefault="00916FD0">
            <w:pPr>
              <w:jc w:val="right"/>
              <w:rPr>
                <w:color w:val="000000"/>
                <w:sz w:val="14"/>
                <w:szCs w:val="14"/>
              </w:rPr>
            </w:pPr>
            <w:r>
              <w:rPr>
                <w:color w:val="000000"/>
                <w:sz w:val="14"/>
                <w:szCs w:val="14"/>
              </w:rPr>
              <w:t>91,191,515</w:t>
            </w:r>
          </w:p>
        </w:tc>
        <w:tc>
          <w:tcPr>
            <w:tcW w:w="1070" w:type="dxa"/>
            <w:tcBorders>
              <w:top w:val="nil"/>
              <w:left w:val="nil"/>
              <w:bottom w:val="nil"/>
              <w:right w:val="nil"/>
            </w:tcBorders>
            <w:shd w:val="clear" w:color="auto" w:fill="FFFFFF"/>
            <w:vAlign w:val="bottom"/>
          </w:tcPr>
          <w:p w14:paraId="6F0F855B" w14:textId="77777777" w:rsidR="00A031A6" w:rsidRDefault="00916FD0">
            <w:pPr>
              <w:jc w:val="right"/>
              <w:rPr>
                <w:color w:val="000000"/>
                <w:sz w:val="14"/>
                <w:szCs w:val="14"/>
              </w:rPr>
            </w:pPr>
            <w:r>
              <w:rPr>
                <w:color w:val="000000"/>
                <w:sz w:val="14"/>
                <w:szCs w:val="14"/>
              </w:rPr>
              <w:t>23%</w:t>
            </w:r>
          </w:p>
        </w:tc>
      </w:tr>
      <w:tr w:rsidR="00A031A6" w14:paraId="3379186F" w14:textId="77777777">
        <w:trPr>
          <w:trHeight w:val="57"/>
        </w:trPr>
        <w:tc>
          <w:tcPr>
            <w:tcW w:w="1560" w:type="dxa"/>
            <w:gridSpan w:val="2"/>
            <w:tcBorders>
              <w:top w:val="nil"/>
              <w:left w:val="nil"/>
              <w:bottom w:val="nil"/>
              <w:right w:val="nil"/>
            </w:tcBorders>
            <w:vAlign w:val="bottom"/>
          </w:tcPr>
          <w:p w14:paraId="4B61FF92" w14:textId="77777777"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14:paraId="099653EB" w14:textId="77777777"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14:paraId="671E039C"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14:paraId="057D5C14"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14:paraId="35422E07" w14:textId="77777777"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14:paraId="46EC9650" w14:textId="77777777"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14:paraId="7D4F57BF" w14:textId="77777777"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14:paraId="67E62EAC" w14:textId="77777777"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14:paraId="04997918" w14:textId="77777777"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14:paraId="0EC743D2" w14:textId="77777777"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14:paraId="0D818850" w14:textId="77777777"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14:paraId="3D57214E" w14:textId="77777777"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14:paraId="52A588AC" w14:textId="77777777" w:rsidR="00A031A6" w:rsidRDefault="00A031A6">
            <w:pPr>
              <w:jc w:val="right"/>
              <w:rPr>
                <w:color w:val="000000"/>
                <w:sz w:val="14"/>
                <w:szCs w:val="14"/>
              </w:rPr>
            </w:pPr>
          </w:p>
        </w:tc>
      </w:tr>
      <w:tr w:rsidR="00A031A6" w14:paraId="25D6C7B3" w14:textId="77777777">
        <w:trPr>
          <w:trHeight w:val="57"/>
        </w:trPr>
        <w:tc>
          <w:tcPr>
            <w:tcW w:w="1560" w:type="dxa"/>
            <w:gridSpan w:val="2"/>
            <w:tcBorders>
              <w:top w:val="nil"/>
              <w:left w:val="nil"/>
              <w:bottom w:val="nil"/>
              <w:right w:val="nil"/>
            </w:tcBorders>
            <w:shd w:val="clear" w:color="auto" w:fill="808080"/>
            <w:vAlign w:val="bottom"/>
          </w:tcPr>
          <w:p w14:paraId="47AB2E05" w14:textId="77777777" w:rsidR="00A031A6" w:rsidRDefault="00916FD0">
            <w:pPr>
              <w:rPr>
                <w:b/>
                <w:color w:val="FFFFFF"/>
                <w:sz w:val="14"/>
                <w:szCs w:val="14"/>
              </w:rPr>
            </w:pPr>
            <w:r>
              <w:rPr>
                <w:b/>
                <w:color w:val="FFFFFF"/>
                <w:sz w:val="14"/>
                <w:szCs w:val="14"/>
              </w:rPr>
              <w:t>Television</w:t>
            </w:r>
          </w:p>
        </w:tc>
        <w:tc>
          <w:tcPr>
            <w:tcW w:w="1169" w:type="dxa"/>
            <w:tcBorders>
              <w:top w:val="nil"/>
              <w:left w:val="nil"/>
              <w:bottom w:val="nil"/>
              <w:right w:val="nil"/>
            </w:tcBorders>
            <w:shd w:val="clear" w:color="auto" w:fill="808080"/>
            <w:vAlign w:val="bottom"/>
          </w:tcPr>
          <w:p w14:paraId="0D114B8A" w14:textId="77777777"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14:paraId="6B8B98D0" w14:textId="77777777"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14:paraId="65725FCB"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6FD1CEE0" w14:textId="77777777"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14:paraId="5EFA694D" w14:textId="77777777"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14:paraId="47A6879D" w14:textId="77777777" w:rsidR="00A031A6" w:rsidRDefault="00916FD0">
            <w:pPr>
              <w:rPr>
                <w:b/>
                <w:color w:val="FFFFFF"/>
                <w:sz w:val="14"/>
                <w:szCs w:val="14"/>
              </w:rPr>
            </w:pPr>
            <w:r>
              <w:rPr>
                <w:b/>
                <w:color w:val="FFFFFF"/>
                <w:sz w:val="14"/>
                <w:szCs w:val="14"/>
              </w:rPr>
              <w:t>Pre-EE</w:t>
            </w:r>
          </w:p>
        </w:tc>
        <w:tc>
          <w:tcPr>
            <w:tcW w:w="986" w:type="dxa"/>
            <w:gridSpan w:val="2"/>
            <w:tcBorders>
              <w:top w:val="nil"/>
              <w:left w:val="nil"/>
              <w:bottom w:val="nil"/>
              <w:right w:val="nil"/>
            </w:tcBorders>
            <w:shd w:val="clear" w:color="auto" w:fill="808080"/>
            <w:vAlign w:val="bottom"/>
          </w:tcPr>
          <w:p w14:paraId="5AAD674D" w14:textId="77777777"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14:paraId="4960E9EF" w14:textId="77777777"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14:paraId="25FB646C" w14:textId="77777777"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14:paraId="38483A9B" w14:textId="77777777"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14:paraId="45FD2F10" w14:textId="77777777"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14:paraId="1D036217" w14:textId="77777777" w:rsidR="00A031A6" w:rsidRDefault="00916FD0">
            <w:pPr>
              <w:rPr>
                <w:b/>
                <w:color w:val="FFFFFF"/>
                <w:sz w:val="14"/>
                <w:szCs w:val="14"/>
              </w:rPr>
            </w:pPr>
            <w:r>
              <w:rPr>
                <w:b/>
                <w:color w:val="FFFFFF"/>
                <w:sz w:val="14"/>
                <w:szCs w:val="14"/>
              </w:rPr>
              <w:t>Replacement</w:t>
            </w:r>
          </w:p>
        </w:tc>
      </w:tr>
      <w:tr w:rsidR="00A031A6" w14:paraId="06326BE7" w14:textId="77777777">
        <w:trPr>
          <w:trHeight w:val="57"/>
        </w:trPr>
        <w:tc>
          <w:tcPr>
            <w:tcW w:w="1560" w:type="dxa"/>
            <w:gridSpan w:val="2"/>
            <w:tcBorders>
              <w:top w:val="nil"/>
              <w:left w:val="nil"/>
              <w:bottom w:val="nil"/>
              <w:right w:val="nil"/>
            </w:tcBorders>
            <w:shd w:val="clear" w:color="auto" w:fill="FFFFFF"/>
            <w:vAlign w:val="bottom"/>
          </w:tcPr>
          <w:p w14:paraId="3BB7F279" w14:textId="77777777"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14:paraId="1ADDDAA2" w14:textId="77777777" w:rsidR="00A031A6" w:rsidRDefault="00916FD0">
            <w:pPr>
              <w:jc w:val="right"/>
              <w:rPr>
                <w:color w:val="000000"/>
                <w:sz w:val="14"/>
                <w:szCs w:val="14"/>
              </w:rPr>
            </w:pPr>
            <w:r>
              <w:rPr>
                <w:color w:val="000000"/>
                <w:sz w:val="14"/>
                <w:szCs w:val="14"/>
              </w:rPr>
              <w:t>67,945,073</w:t>
            </w:r>
          </w:p>
        </w:tc>
        <w:tc>
          <w:tcPr>
            <w:tcW w:w="1043" w:type="dxa"/>
            <w:gridSpan w:val="2"/>
            <w:tcBorders>
              <w:top w:val="nil"/>
              <w:left w:val="nil"/>
              <w:bottom w:val="nil"/>
              <w:right w:val="nil"/>
            </w:tcBorders>
            <w:shd w:val="clear" w:color="auto" w:fill="FFFFFF"/>
            <w:vAlign w:val="bottom"/>
          </w:tcPr>
          <w:p w14:paraId="4C19480D"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14:paraId="00EDF457"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43C36A5F" w14:textId="77777777"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14:paraId="3AD4A444"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0AAE9D46" w14:textId="77777777" w:rsidR="00A031A6" w:rsidRDefault="00916FD0">
            <w:pPr>
              <w:jc w:val="right"/>
              <w:rPr>
                <w:color w:val="000000"/>
                <w:sz w:val="14"/>
                <w:szCs w:val="14"/>
              </w:rPr>
            </w:pPr>
            <w:r>
              <w:rPr>
                <w:color w:val="000000"/>
                <w:sz w:val="14"/>
                <w:szCs w:val="14"/>
              </w:rPr>
              <w:t>67,945,073</w:t>
            </w:r>
          </w:p>
        </w:tc>
        <w:tc>
          <w:tcPr>
            <w:tcW w:w="986" w:type="dxa"/>
            <w:gridSpan w:val="2"/>
            <w:tcBorders>
              <w:top w:val="nil"/>
              <w:left w:val="nil"/>
              <w:bottom w:val="nil"/>
              <w:right w:val="nil"/>
            </w:tcBorders>
            <w:shd w:val="clear" w:color="auto" w:fill="FFFFFF"/>
            <w:vAlign w:val="bottom"/>
          </w:tcPr>
          <w:p w14:paraId="67D42E5D"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52039EDE"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6FF298DE"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48DF5DE8" w14:textId="77777777" w:rsidR="00A031A6" w:rsidRDefault="00916FD0">
            <w:pPr>
              <w:jc w:val="right"/>
              <w:rPr>
                <w:color w:val="000000"/>
                <w:sz w:val="14"/>
                <w:szCs w:val="14"/>
              </w:rPr>
            </w:pPr>
            <w:r>
              <w:rPr>
                <w:color w:val="000000"/>
                <w:sz w:val="14"/>
                <w:szCs w:val="14"/>
              </w:rPr>
              <w:t>100%</w:t>
            </w:r>
          </w:p>
        </w:tc>
        <w:tc>
          <w:tcPr>
            <w:tcW w:w="1426" w:type="dxa"/>
            <w:gridSpan w:val="2"/>
            <w:tcBorders>
              <w:top w:val="nil"/>
              <w:left w:val="nil"/>
              <w:bottom w:val="nil"/>
              <w:right w:val="nil"/>
            </w:tcBorders>
            <w:shd w:val="clear" w:color="auto" w:fill="FFFFFF"/>
            <w:vAlign w:val="bottom"/>
          </w:tcPr>
          <w:p w14:paraId="3C225E6E" w14:textId="77777777" w:rsidR="00A031A6" w:rsidRDefault="00916FD0">
            <w:pPr>
              <w:jc w:val="right"/>
              <w:rPr>
                <w:color w:val="000000"/>
                <w:sz w:val="14"/>
                <w:szCs w:val="14"/>
              </w:rPr>
            </w:pPr>
            <w:r>
              <w:rPr>
                <w:color w:val="000000"/>
                <w:sz w:val="14"/>
                <w:szCs w:val="14"/>
              </w:rPr>
              <w:t>67,945,073</w:t>
            </w:r>
          </w:p>
        </w:tc>
        <w:tc>
          <w:tcPr>
            <w:tcW w:w="1070" w:type="dxa"/>
            <w:tcBorders>
              <w:top w:val="nil"/>
              <w:left w:val="nil"/>
              <w:bottom w:val="nil"/>
              <w:right w:val="nil"/>
            </w:tcBorders>
            <w:shd w:val="clear" w:color="auto" w:fill="FFFFFF"/>
            <w:vAlign w:val="bottom"/>
          </w:tcPr>
          <w:p w14:paraId="0D8D70F0" w14:textId="77777777" w:rsidR="00A031A6" w:rsidRDefault="00916FD0">
            <w:pPr>
              <w:jc w:val="right"/>
              <w:rPr>
                <w:color w:val="000000"/>
                <w:sz w:val="14"/>
                <w:szCs w:val="14"/>
              </w:rPr>
            </w:pPr>
            <w:r>
              <w:rPr>
                <w:color w:val="000000"/>
                <w:sz w:val="14"/>
                <w:szCs w:val="14"/>
              </w:rPr>
              <w:t>0%</w:t>
            </w:r>
          </w:p>
        </w:tc>
      </w:tr>
      <w:tr w:rsidR="00A031A6" w14:paraId="546AA417" w14:textId="77777777">
        <w:trPr>
          <w:trHeight w:val="57"/>
        </w:trPr>
        <w:tc>
          <w:tcPr>
            <w:tcW w:w="1560" w:type="dxa"/>
            <w:gridSpan w:val="2"/>
            <w:tcBorders>
              <w:top w:val="nil"/>
              <w:left w:val="nil"/>
              <w:bottom w:val="nil"/>
              <w:right w:val="nil"/>
            </w:tcBorders>
            <w:shd w:val="clear" w:color="auto" w:fill="FFFFFF"/>
            <w:vAlign w:val="bottom"/>
          </w:tcPr>
          <w:p w14:paraId="57621FAF" w14:textId="77777777"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14:paraId="6A666133" w14:textId="77777777" w:rsidR="00A031A6" w:rsidRDefault="00916FD0">
            <w:pPr>
              <w:jc w:val="right"/>
              <w:rPr>
                <w:color w:val="000000"/>
                <w:sz w:val="14"/>
                <w:szCs w:val="14"/>
              </w:rPr>
            </w:pPr>
            <w:r>
              <w:rPr>
                <w:color w:val="000000"/>
                <w:sz w:val="14"/>
                <w:szCs w:val="14"/>
              </w:rPr>
              <w:t>76,162,784</w:t>
            </w:r>
          </w:p>
        </w:tc>
        <w:tc>
          <w:tcPr>
            <w:tcW w:w="1043" w:type="dxa"/>
            <w:gridSpan w:val="2"/>
            <w:tcBorders>
              <w:top w:val="nil"/>
              <w:left w:val="nil"/>
              <w:bottom w:val="nil"/>
              <w:right w:val="nil"/>
            </w:tcBorders>
            <w:shd w:val="clear" w:color="auto" w:fill="FFFFFF"/>
            <w:vAlign w:val="bottom"/>
          </w:tcPr>
          <w:p w14:paraId="74ABDF8E" w14:textId="77777777" w:rsidR="00A031A6" w:rsidRDefault="00916FD0">
            <w:pPr>
              <w:jc w:val="right"/>
              <w:rPr>
                <w:color w:val="000000"/>
                <w:sz w:val="14"/>
                <w:szCs w:val="14"/>
              </w:rPr>
            </w:pPr>
            <w:r>
              <w:rPr>
                <w:color w:val="000000"/>
                <w:sz w:val="14"/>
                <w:szCs w:val="14"/>
              </w:rPr>
              <w:t>67,945,073</w:t>
            </w:r>
          </w:p>
        </w:tc>
        <w:tc>
          <w:tcPr>
            <w:tcW w:w="967" w:type="dxa"/>
            <w:gridSpan w:val="2"/>
            <w:tcBorders>
              <w:top w:val="nil"/>
              <w:left w:val="nil"/>
              <w:bottom w:val="nil"/>
              <w:right w:val="nil"/>
            </w:tcBorders>
            <w:shd w:val="clear" w:color="auto" w:fill="FFFFFF"/>
            <w:vAlign w:val="bottom"/>
          </w:tcPr>
          <w:p w14:paraId="00AC385C" w14:textId="77777777" w:rsidR="00A031A6" w:rsidRDefault="00916FD0">
            <w:pPr>
              <w:jc w:val="right"/>
              <w:rPr>
                <w:color w:val="000000"/>
                <w:sz w:val="14"/>
                <w:szCs w:val="14"/>
              </w:rPr>
            </w:pPr>
            <w:r>
              <w:rPr>
                <w:color w:val="000000"/>
                <w:sz w:val="14"/>
                <w:szCs w:val="14"/>
              </w:rPr>
              <w:t>15,012,218</w:t>
            </w:r>
          </w:p>
        </w:tc>
        <w:tc>
          <w:tcPr>
            <w:tcW w:w="1510" w:type="dxa"/>
            <w:gridSpan w:val="2"/>
            <w:tcBorders>
              <w:top w:val="nil"/>
              <w:left w:val="nil"/>
              <w:bottom w:val="nil"/>
              <w:right w:val="nil"/>
            </w:tcBorders>
            <w:shd w:val="clear" w:color="auto" w:fill="FFFFFF"/>
            <w:vAlign w:val="bottom"/>
          </w:tcPr>
          <w:p w14:paraId="69FAD8F1" w14:textId="77777777" w:rsidR="00A031A6" w:rsidRDefault="00916FD0">
            <w:pPr>
              <w:jc w:val="right"/>
              <w:rPr>
                <w:color w:val="000000"/>
                <w:sz w:val="14"/>
                <w:szCs w:val="14"/>
              </w:rPr>
            </w:pPr>
            <w:r>
              <w:rPr>
                <w:color w:val="000000"/>
                <w:sz w:val="14"/>
                <w:szCs w:val="14"/>
              </w:rPr>
              <w:t>6,794,507</w:t>
            </w:r>
          </w:p>
        </w:tc>
        <w:tc>
          <w:tcPr>
            <w:tcW w:w="1254" w:type="dxa"/>
            <w:gridSpan w:val="2"/>
            <w:tcBorders>
              <w:top w:val="nil"/>
              <w:left w:val="nil"/>
              <w:bottom w:val="nil"/>
              <w:right w:val="nil"/>
            </w:tcBorders>
            <w:shd w:val="clear" w:color="auto" w:fill="FFFFFF"/>
            <w:vAlign w:val="bottom"/>
          </w:tcPr>
          <w:p w14:paraId="5761863E"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5367E505" w14:textId="77777777" w:rsidR="00A031A6" w:rsidRDefault="00916FD0">
            <w:pPr>
              <w:jc w:val="right"/>
              <w:rPr>
                <w:color w:val="000000"/>
                <w:sz w:val="14"/>
                <w:szCs w:val="14"/>
              </w:rPr>
            </w:pPr>
            <w:r>
              <w:rPr>
                <w:color w:val="000000"/>
                <w:sz w:val="14"/>
                <w:szCs w:val="14"/>
              </w:rPr>
              <w:t>76,162,784</w:t>
            </w:r>
          </w:p>
        </w:tc>
        <w:tc>
          <w:tcPr>
            <w:tcW w:w="986" w:type="dxa"/>
            <w:gridSpan w:val="2"/>
            <w:tcBorders>
              <w:top w:val="nil"/>
              <w:left w:val="nil"/>
              <w:bottom w:val="nil"/>
              <w:right w:val="nil"/>
            </w:tcBorders>
            <w:shd w:val="clear" w:color="auto" w:fill="FFFFFF"/>
            <w:vAlign w:val="bottom"/>
          </w:tcPr>
          <w:p w14:paraId="53C9CB41"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7F875FAA"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076E01E9"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224BF295" w14:textId="77777777" w:rsidR="00A031A6" w:rsidRDefault="00916FD0">
            <w:pPr>
              <w:jc w:val="right"/>
              <w:rPr>
                <w:color w:val="000000"/>
                <w:sz w:val="14"/>
                <w:szCs w:val="14"/>
              </w:rPr>
            </w:pPr>
            <w:r>
              <w:rPr>
                <w:color w:val="000000"/>
                <w:sz w:val="14"/>
                <w:szCs w:val="14"/>
              </w:rPr>
              <w:t>111%</w:t>
            </w:r>
          </w:p>
        </w:tc>
        <w:tc>
          <w:tcPr>
            <w:tcW w:w="1426" w:type="dxa"/>
            <w:gridSpan w:val="2"/>
            <w:tcBorders>
              <w:top w:val="nil"/>
              <w:left w:val="nil"/>
              <w:bottom w:val="nil"/>
              <w:right w:val="nil"/>
            </w:tcBorders>
            <w:shd w:val="clear" w:color="auto" w:fill="FFFFFF"/>
            <w:vAlign w:val="bottom"/>
          </w:tcPr>
          <w:p w14:paraId="56A5F4AD" w14:textId="77777777" w:rsidR="00A031A6" w:rsidRDefault="00916FD0">
            <w:pPr>
              <w:jc w:val="right"/>
              <w:rPr>
                <w:color w:val="000000"/>
                <w:sz w:val="14"/>
                <w:szCs w:val="14"/>
              </w:rPr>
            </w:pPr>
            <w:r>
              <w:rPr>
                <w:color w:val="000000"/>
                <w:sz w:val="14"/>
                <w:szCs w:val="14"/>
              </w:rPr>
              <w:t>76,162,784</w:t>
            </w:r>
          </w:p>
        </w:tc>
        <w:tc>
          <w:tcPr>
            <w:tcW w:w="1070" w:type="dxa"/>
            <w:tcBorders>
              <w:top w:val="nil"/>
              <w:left w:val="nil"/>
              <w:bottom w:val="nil"/>
              <w:right w:val="nil"/>
            </w:tcBorders>
            <w:shd w:val="clear" w:color="auto" w:fill="FFFFFF"/>
            <w:vAlign w:val="bottom"/>
          </w:tcPr>
          <w:p w14:paraId="37A873AE" w14:textId="77777777" w:rsidR="00A031A6" w:rsidRDefault="00916FD0">
            <w:pPr>
              <w:jc w:val="right"/>
              <w:rPr>
                <w:color w:val="000000"/>
                <w:sz w:val="14"/>
                <w:szCs w:val="14"/>
              </w:rPr>
            </w:pPr>
            <w:r>
              <w:rPr>
                <w:color w:val="000000"/>
                <w:sz w:val="14"/>
                <w:szCs w:val="14"/>
              </w:rPr>
              <w:t>0%</w:t>
            </w:r>
          </w:p>
        </w:tc>
      </w:tr>
      <w:tr w:rsidR="00A031A6" w14:paraId="33200A8B" w14:textId="77777777">
        <w:trPr>
          <w:trHeight w:val="57"/>
        </w:trPr>
        <w:tc>
          <w:tcPr>
            <w:tcW w:w="1560" w:type="dxa"/>
            <w:gridSpan w:val="2"/>
            <w:tcBorders>
              <w:top w:val="nil"/>
              <w:left w:val="nil"/>
              <w:bottom w:val="nil"/>
              <w:right w:val="nil"/>
            </w:tcBorders>
            <w:shd w:val="clear" w:color="auto" w:fill="FFFFFF"/>
            <w:vAlign w:val="bottom"/>
          </w:tcPr>
          <w:p w14:paraId="1A25E3F2" w14:textId="77777777"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14:paraId="3AA6695F" w14:textId="77777777" w:rsidR="00A031A6" w:rsidRDefault="00916FD0">
            <w:pPr>
              <w:jc w:val="right"/>
              <w:rPr>
                <w:color w:val="000000"/>
                <w:sz w:val="14"/>
                <w:szCs w:val="14"/>
              </w:rPr>
            </w:pPr>
            <w:r>
              <w:rPr>
                <w:color w:val="000000"/>
                <w:sz w:val="14"/>
                <w:szCs w:val="14"/>
              </w:rPr>
              <w:t>85,196,916</w:t>
            </w:r>
          </w:p>
        </w:tc>
        <w:tc>
          <w:tcPr>
            <w:tcW w:w="1043" w:type="dxa"/>
            <w:gridSpan w:val="2"/>
            <w:tcBorders>
              <w:top w:val="nil"/>
              <w:left w:val="nil"/>
              <w:bottom w:val="nil"/>
              <w:right w:val="nil"/>
            </w:tcBorders>
            <w:shd w:val="clear" w:color="auto" w:fill="FFFFFF"/>
            <w:vAlign w:val="bottom"/>
          </w:tcPr>
          <w:p w14:paraId="1D252CAB" w14:textId="77777777" w:rsidR="00A031A6" w:rsidRDefault="00916FD0">
            <w:pPr>
              <w:jc w:val="right"/>
              <w:rPr>
                <w:color w:val="000000"/>
                <w:sz w:val="14"/>
                <w:szCs w:val="14"/>
              </w:rPr>
            </w:pPr>
            <w:r>
              <w:rPr>
                <w:color w:val="000000"/>
                <w:sz w:val="14"/>
                <w:szCs w:val="14"/>
              </w:rPr>
              <w:t>76,162,784</w:t>
            </w:r>
          </w:p>
        </w:tc>
        <w:tc>
          <w:tcPr>
            <w:tcW w:w="967" w:type="dxa"/>
            <w:gridSpan w:val="2"/>
            <w:tcBorders>
              <w:top w:val="nil"/>
              <w:left w:val="nil"/>
              <w:bottom w:val="nil"/>
              <w:right w:val="nil"/>
            </w:tcBorders>
            <w:shd w:val="clear" w:color="auto" w:fill="FFFFFF"/>
            <w:vAlign w:val="bottom"/>
          </w:tcPr>
          <w:p w14:paraId="362F56B7" w14:textId="77777777" w:rsidR="00A031A6" w:rsidRDefault="00916FD0">
            <w:pPr>
              <w:jc w:val="right"/>
              <w:rPr>
                <w:color w:val="000000"/>
                <w:sz w:val="14"/>
                <w:szCs w:val="14"/>
              </w:rPr>
            </w:pPr>
            <w:r>
              <w:rPr>
                <w:color w:val="000000"/>
                <w:sz w:val="14"/>
                <w:szCs w:val="14"/>
              </w:rPr>
              <w:t>16,650,410</w:t>
            </w:r>
          </w:p>
        </w:tc>
        <w:tc>
          <w:tcPr>
            <w:tcW w:w="1510" w:type="dxa"/>
            <w:gridSpan w:val="2"/>
            <w:tcBorders>
              <w:top w:val="nil"/>
              <w:left w:val="nil"/>
              <w:bottom w:val="nil"/>
              <w:right w:val="nil"/>
            </w:tcBorders>
            <w:shd w:val="clear" w:color="auto" w:fill="FFFFFF"/>
            <w:vAlign w:val="bottom"/>
          </w:tcPr>
          <w:p w14:paraId="511E85F8" w14:textId="77777777" w:rsidR="00A031A6" w:rsidRDefault="00916FD0">
            <w:pPr>
              <w:jc w:val="right"/>
              <w:rPr>
                <w:color w:val="000000"/>
                <w:sz w:val="14"/>
                <w:szCs w:val="14"/>
              </w:rPr>
            </w:pPr>
            <w:r>
              <w:rPr>
                <w:color w:val="000000"/>
                <w:sz w:val="14"/>
                <w:szCs w:val="14"/>
              </w:rPr>
              <w:t>7,616,278</w:t>
            </w:r>
          </w:p>
        </w:tc>
        <w:tc>
          <w:tcPr>
            <w:tcW w:w="1254" w:type="dxa"/>
            <w:gridSpan w:val="2"/>
            <w:tcBorders>
              <w:top w:val="nil"/>
              <w:left w:val="nil"/>
              <w:bottom w:val="nil"/>
              <w:right w:val="nil"/>
            </w:tcBorders>
            <w:shd w:val="clear" w:color="auto" w:fill="FFFFFF"/>
            <w:vAlign w:val="bottom"/>
          </w:tcPr>
          <w:p w14:paraId="1B064C9E"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5BB614DA" w14:textId="77777777" w:rsidR="00A031A6" w:rsidRDefault="00916FD0">
            <w:pPr>
              <w:jc w:val="right"/>
              <w:rPr>
                <w:color w:val="000000"/>
                <w:sz w:val="14"/>
                <w:szCs w:val="14"/>
              </w:rPr>
            </w:pPr>
            <w:r>
              <w:rPr>
                <w:color w:val="000000"/>
                <w:sz w:val="14"/>
                <w:szCs w:val="14"/>
              </w:rPr>
              <w:t>85,196,916</w:t>
            </w:r>
          </w:p>
        </w:tc>
        <w:tc>
          <w:tcPr>
            <w:tcW w:w="986" w:type="dxa"/>
            <w:gridSpan w:val="2"/>
            <w:tcBorders>
              <w:top w:val="nil"/>
              <w:left w:val="nil"/>
              <w:bottom w:val="nil"/>
              <w:right w:val="nil"/>
            </w:tcBorders>
            <w:shd w:val="clear" w:color="auto" w:fill="FFFFFF"/>
            <w:vAlign w:val="bottom"/>
          </w:tcPr>
          <w:p w14:paraId="734AC5A9"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168DD5C4"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5A4E6CEF"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0DB5F787" w14:textId="77777777" w:rsidR="00A031A6" w:rsidRDefault="00916FD0">
            <w:pPr>
              <w:jc w:val="right"/>
              <w:rPr>
                <w:color w:val="000000"/>
                <w:sz w:val="14"/>
                <w:szCs w:val="14"/>
              </w:rPr>
            </w:pPr>
            <w:r>
              <w:rPr>
                <w:color w:val="000000"/>
                <w:sz w:val="14"/>
                <w:szCs w:val="14"/>
              </w:rPr>
              <w:t>123%</w:t>
            </w:r>
          </w:p>
        </w:tc>
        <w:tc>
          <w:tcPr>
            <w:tcW w:w="1426" w:type="dxa"/>
            <w:gridSpan w:val="2"/>
            <w:tcBorders>
              <w:top w:val="nil"/>
              <w:left w:val="nil"/>
              <w:bottom w:val="nil"/>
              <w:right w:val="nil"/>
            </w:tcBorders>
            <w:shd w:val="clear" w:color="auto" w:fill="FFFFFF"/>
            <w:vAlign w:val="bottom"/>
          </w:tcPr>
          <w:p w14:paraId="18E59C56" w14:textId="77777777" w:rsidR="00A031A6" w:rsidRDefault="00916FD0">
            <w:pPr>
              <w:jc w:val="right"/>
              <w:rPr>
                <w:color w:val="000000"/>
                <w:sz w:val="14"/>
                <w:szCs w:val="14"/>
              </w:rPr>
            </w:pPr>
            <w:r>
              <w:rPr>
                <w:color w:val="000000"/>
                <w:sz w:val="14"/>
                <w:szCs w:val="14"/>
              </w:rPr>
              <w:t>83,395,852</w:t>
            </w:r>
          </w:p>
        </w:tc>
        <w:tc>
          <w:tcPr>
            <w:tcW w:w="1070" w:type="dxa"/>
            <w:tcBorders>
              <w:top w:val="nil"/>
              <w:left w:val="nil"/>
              <w:bottom w:val="nil"/>
              <w:right w:val="nil"/>
            </w:tcBorders>
            <w:shd w:val="clear" w:color="auto" w:fill="FFFFFF"/>
            <w:vAlign w:val="bottom"/>
          </w:tcPr>
          <w:p w14:paraId="3BAB3BC0" w14:textId="77777777" w:rsidR="00A031A6" w:rsidRDefault="00916FD0">
            <w:pPr>
              <w:jc w:val="right"/>
              <w:rPr>
                <w:color w:val="000000"/>
                <w:sz w:val="14"/>
                <w:szCs w:val="14"/>
              </w:rPr>
            </w:pPr>
            <w:r>
              <w:rPr>
                <w:color w:val="000000"/>
                <w:sz w:val="14"/>
                <w:szCs w:val="14"/>
              </w:rPr>
              <w:t>2%</w:t>
            </w:r>
          </w:p>
        </w:tc>
      </w:tr>
      <w:tr w:rsidR="00A031A6" w14:paraId="4E9F204E" w14:textId="77777777">
        <w:trPr>
          <w:trHeight w:val="57"/>
        </w:trPr>
        <w:tc>
          <w:tcPr>
            <w:tcW w:w="1560" w:type="dxa"/>
            <w:gridSpan w:val="2"/>
            <w:tcBorders>
              <w:top w:val="nil"/>
              <w:left w:val="nil"/>
              <w:bottom w:val="nil"/>
              <w:right w:val="nil"/>
            </w:tcBorders>
            <w:shd w:val="clear" w:color="auto" w:fill="FFFFFF"/>
            <w:vAlign w:val="bottom"/>
          </w:tcPr>
          <w:p w14:paraId="6F414F82" w14:textId="77777777"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14:paraId="37942656" w14:textId="77777777" w:rsidR="00A031A6" w:rsidRDefault="00916FD0">
            <w:pPr>
              <w:jc w:val="right"/>
              <w:rPr>
                <w:color w:val="000000"/>
                <w:sz w:val="14"/>
                <w:szCs w:val="14"/>
              </w:rPr>
            </w:pPr>
            <w:r>
              <w:rPr>
                <w:color w:val="000000"/>
                <w:sz w:val="14"/>
                <w:szCs w:val="14"/>
              </w:rPr>
              <w:t>95,144,593</w:t>
            </w:r>
          </w:p>
        </w:tc>
        <w:tc>
          <w:tcPr>
            <w:tcW w:w="1043" w:type="dxa"/>
            <w:gridSpan w:val="2"/>
            <w:tcBorders>
              <w:top w:val="nil"/>
              <w:left w:val="nil"/>
              <w:bottom w:val="nil"/>
              <w:right w:val="nil"/>
            </w:tcBorders>
            <w:shd w:val="clear" w:color="auto" w:fill="FFFFFF"/>
            <w:vAlign w:val="bottom"/>
          </w:tcPr>
          <w:p w14:paraId="498F91AD" w14:textId="77777777" w:rsidR="00A031A6" w:rsidRDefault="00916FD0">
            <w:pPr>
              <w:jc w:val="right"/>
              <w:rPr>
                <w:color w:val="000000"/>
                <w:sz w:val="14"/>
                <w:szCs w:val="14"/>
              </w:rPr>
            </w:pPr>
            <w:r>
              <w:rPr>
                <w:color w:val="000000"/>
                <w:sz w:val="14"/>
                <w:szCs w:val="14"/>
              </w:rPr>
              <w:t>85,196,916</w:t>
            </w:r>
          </w:p>
        </w:tc>
        <w:tc>
          <w:tcPr>
            <w:tcW w:w="967" w:type="dxa"/>
            <w:gridSpan w:val="2"/>
            <w:tcBorders>
              <w:top w:val="nil"/>
              <w:left w:val="nil"/>
              <w:bottom w:val="nil"/>
              <w:right w:val="nil"/>
            </w:tcBorders>
            <w:shd w:val="clear" w:color="auto" w:fill="FFFFFF"/>
            <w:vAlign w:val="bottom"/>
          </w:tcPr>
          <w:p w14:paraId="23D46AEC" w14:textId="77777777" w:rsidR="00A031A6" w:rsidRDefault="00916FD0">
            <w:pPr>
              <w:jc w:val="right"/>
              <w:rPr>
                <w:color w:val="000000"/>
                <w:sz w:val="14"/>
                <w:szCs w:val="14"/>
              </w:rPr>
            </w:pPr>
            <w:r>
              <w:rPr>
                <w:color w:val="000000"/>
                <w:sz w:val="14"/>
                <w:szCs w:val="14"/>
              </w:rPr>
              <w:t>18,467,369</w:t>
            </w:r>
          </w:p>
        </w:tc>
        <w:tc>
          <w:tcPr>
            <w:tcW w:w="1510" w:type="dxa"/>
            <w:gridSpan w:val="2"/>
            <w:tcBorders>
              <w:top w:val="nil"/>
              <w:left w:val="nil"/>
              <w:bottom w:val="nil"/>
              <w:right w:val="nil"/>
            </w:tcBorders>
            <w:shd w:val="clear" w:color="auto" w:fill="FFFFFF"/>
            <w:vAlign w:val="bottom"/>
          </w:tcPr>
          <w:p w14:paraId="2716A7BE" w14:textId="77777777" w:rsidR="00A031A6" w:rsidRDefault="00916FD0">
            <w:pPr>
              <w:jc w:val="right"/>
              <w:rPr>
                <w:color w:val="000000"/>
                <w:sz w:val="14"/>
                <w:szCs w:val="14"/>
              </w:rPr>
            </w:pPr>
            <w:r>
              <w:rPr>
                <w:color w:val="000000"/>
                <w:sz w:val="14"/>
                <w:szCs w:val="14"/>
              </w:rPr>
              <w:t>8,519,692</w:t>
            </w:r>
          </w:p>
        </w:tc>
        <w:tc>
          <w:tcPr>
            <w:tcW w:w="1254" w:type="dxa"/>
            <w:gridSpan w:val="2"/>
            <w:tcBorders>
              <w:top w:val="nil"/>
              <w:left w:val="nil"/>
              <w:bottom w:val="nil"/>
              <w:right w:val="nil"/>
            </w:tcBorders>
            <w:shd w:val="clear" w:color="auto" w:fill="FFFFFF"/>
            <w:vAlign w:val="bottom"/>
          </w:tcPr>
          <w:p w14:paraId="2B2DECDB"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1BE45651" w14:textId="77777777" w:rsidR="00A031A6" w:rsidRDefault="00916FD0">
            <w:pPr>
              <w:jc w:val="right"/>
              <w:rPr>
                <w:color w:val="000000"/>
                <w:sz w:val="14"/>
                <w:szCs w:val="14"/>
              </w:rPr>
            </w:pPr>
            <w:r>
              <w:rPr>
                <w:color w:val="000000"/>
                <w:sz w:val="14"/>
                <w:szCs w:val="14"/>
              </w:rPr>
              <w:t>95,144,593</w:t>
            </w:r>
          </w:p>
        </w:tc>
        <w:tc>
          <w:tcPr>
            <w:tcW w:w="986" w:type="dxa"/>
            <w:gridSpan w:val="2"/>
            <w:tcBorders>
              <w:top w:val="nil"/>
              <w:left w:val="nil"/>
              <w:bottom w:val="nil"/>
              <w:right w:val="nil"/>
            </w:tcBorders>
            <w:shd w:val="clear" w:color="auto" w:fill="FFFFFF"/>
            <w:vAlign w:val="bottom"/>
          </w:tcPr>
          <w:p w14:paraId="21D02337"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48E3BAE3"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6385825C"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13E6F2D8" w14:textId="77777777" w:rsidR="00A031A6" w:rsidRDefault="00916FD0">
            <w:pPr>
              <w:jc w:val="right"/>
              <w:rPr>
                <w:color w:val="000000"/>
                <w:sz w:val="14"/>
                <w:szCs w:val="14"/>
              </w:rPr>
            </w:pPr>
            <w:r>
              <w:rPr>
                <w:color w:val="000000"/>
                <w:sz w:val="14"/>
                <w:szCs w:val="14"/>
              </w:rPr>
              <w:t>136%</w:t>
            </w:r>
          </w:p>
        </w:tc>
        <w:tc>
          <w:tcPr>
            <w:tcW w:w="1426" w:type="dxa"/>
            <w:gridSpan w:val="2"/>
            <w:tcBorders>
              <w:top w:val="nil"/>
              <w:left w:val="nil"/>
              <w:bottom w:val="nil"/>
              <w:right w:val="nil"/>
            </w:tcBorders>
            <w:shd w:val="clear" w:color="auto" w:fill="FFFFFF"/>
            <w:vAlign w:val="bottom"/>
          </w:tcPr>
          <w:p w14:paraId="1DFEFFC5" w14:textId="77777777" w:rsidR="00A031A6" w:rsidRDefault="00916FD0">
            <w:pPr>
              <w:jc w:val="right"/>
              <w:rPr>
                <w:color w:val="000000"/>
                <w:sz w:val="14"/>
                <w:szCs w:val="14"/>
              </w:rPr>
            </w:pPr>
            <w:r>
              <w:rPr>
                <w:color w:val="000000"/>
                <w:sz w:val="14"/>
                <w:szCs w:val="14"/>
              </w:rPr>
              <w:t>84,209,460</w:t>
            </w:r>
          </w:p>
        </w:tc>
        <w:tc>
          <w:tcPr>
            <w:tcW w:w="1070" w:type="dxa"/>
            <w:tcBorders>
              <w:top w:val="nil"/>
              <w:left w:val="nil"/>
              <w:bottom w:val="nil"/>
              <w:right w:val="nil"/>
            </w:tcBorders>
            <w:shd w:val="clear" w:color="auto" w:fill="FFFFFF"/>
            <w:vAlign w:val="bottom"/>
          </w:tcPr>
          <w:p w14:paraId="5AA6DDFD" w14:textId="77777777" w:rsidR="00A031A6" w:rsidRDefault="00916FD0">
            <w:pPr>
              <w:jc w:val="right"/>
              <w:rPr>
                <w:color w:val="000000"/>
                <w:sz w:val="14"/>
                <w:szCs w:val="14"/>
              </w:rPr>
            </w:pPr>
            <w:r>
              <w:rPr>
                <w:color w:val="000000"/>
                <w:sz w:val="14"/>
                <w:szCs w:val="14"/>
              </w:rPr>
              <w:t>11%</w:t>
            </w:r>
          </w:p>
        </w:tc>
      </w:tr>
      <w:tr w:rsidR="00A031A6" w14:paraId="3AFD0B80" w14:textId="77777777">
        <w:trPr>
          <w:trHeight w:val="57"/>
        </w:trPr>
        <w:tc>
          <w:tcPr>
            <w:tcW w:w="1560" w:type="dxa"/>
            <w:gridSpan w:val="2"/>
            <w:tcBorders>
              <w:top w:val="nil"/>
              <w:left w:val="nil"/>
              <w:bottom w:val="nil"/>
              <w:right w:val="nil"/>
            </w:tcBorders>
            <w:shd w:val="clear" w:color="auto" w:fill="FFFFFF"/>
            <w:vAlign w:val="bottom"/>
          </w:tcPr>
          <w:p w14:paraId="49A731AB" w14:textId="77777777"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14:paraId="2E294517" w14:textId="77777777" w:rsidR="00A031A6" w:rsidRDefault="00916FD0">
            <w:pPr>
              <w:jc w:val="right"/>
              <w:rPr>
                <w:color w:val="000000"/>
                <w:sz w:val="14"/>
                <w:szCs w:val="14"/>
              </w:rPr>
            </w:pPr>
            <w:r>
              <w:rPr>
                <w:color w:val="000000"/>
                <w:sz w:val="14"/>
                <w:szCs w:val="14"/>
              </w:rPr>
              <w:t>106,112,734</w:t>
            </w:r>
          </w:p>
        </w:tc>
        <w:tc>
          <w:tcPr>
            <w:tcW w:w="1043" w:type="dxa"/>
            <w:gridSpan w:val="2"/>
            <w:tcBorders>
              <w:top w:val="nil"/>
              <w:left w:val="nil"/>
              <w:bottom w:val="nil"/>
              <w:right w:val="nil"/>
            </w:tcBorders>
            <w:shd w:val="clear" w:color="auto" w:fill="FFFFFF"/>
            <w:vAlign w:val="bottom"/>
          </w:tcPr>
          <w:p w14:paraId="004C4047" w14:textId="77777777" w:rsidR="00A031A6" w:rsidRDefault="00916FD0">
            <w:pPr>
              <w:jc w:val="right"/>
              <w:rPr>
                <w:color w:val="000000"/>
                <w:sz w:val="14"/>
                <w:szCs w:val="14"/>
              </w:rPr>
            </w:pPr>
            <w:r>
              <w:rPr>
                <w:color w:val="000000"/>
                <w:sz w:val="14"/>
                <w:szCs w:val="14"/>
              </w:rPr>
              <w:t>95,144,593</w:t>
            </w:r>
          </w:p>
        </w:tc>
        <w:tc>
          <w:tcPr>
            <w:tcW w:w="967" w:type="dxa"/>
            <w:gridSpan w:val="2"/>
            <w:tcBorders>
              <w:top w:val="nil"/>
              <w:left w:val="nil"/>
              <w:bottom w:val="nil"/>
              <w:right w:val="nil"/>
            </w:tcBorders>
            <w:shd w:val="clear" w:color="auto" w:fill="FFFFFF"/>
            <w:vAlign w:val="bottom"/>
          </w:tcPr>
          <w:p w14:paraId="084A8AC2" w14:textId="77777777" w:rsidR="00A031A6" w:rsidRDefault="00916FD0">
            <w:pPr>
              <w:jc w:val="right"/>
              <w:rPr>
                <w:color w:val="000000"/>
                <w:sz w:val="14"/>
                <w:szCs w:val="14"/>
              </w:rPr>
            </w:pPr>
            <w:r>
              <w:rPr>
                <w:color w:val="000000"/>
                <w:sz w:val="14"/>
                <w:szCs w:val="14"/>
              </w:rPr>
              <w:t>20,482,601</w:t>
            </w:r>
          </w:p>
        </w:tc>
        <w:tc>
          <w:tcPr>
            <w:tcW w:w="1510" w:type="dxa"/>
            <w:gridSpan w:val="2"/>
            <w:tcBorders>
              <w:top w:val="nil"/>
              <w:left w:val="nil"/>
              <w:bottom w:val="nil"/>
              <w:right w:val="nil"/>
            </w:tcBorders>
            <w:shd w:val="clear" w:color="auto" w:fill="FFFFFF"/>
            <w:vAlign w:val="bottom"/>
          </w:tcPr>
          <w:p w14:paraId="2EB9F957" w14:textId="77777777" w:rsidR="00A031A6" w:rsidRDefault="00916FD0">
            <w:pPr>
              <w:jc w:val="right"/>
              <w:rPr>
                <w:color w:val="000000"/>
                <w:sz w:val="14"/>
                <w:szCs w:val="14"/>
              </w:rPr>
            </w:pPr>
            <w:r>
              <w:rPr>
                <w:color w:val="000000"/>
                <w:sz w:val="14"/>
                <w:szCs w:val="14"/>
              </w:rPr>
              <w:t>9,514,459</w:t>
            </w:r>
          </w:p>
        </w:tc>
        <w:tc>
          <w:tcPr>
            <w:tcW w:w="1254" w:type="dxa"/>
            <w:gridSpan w:val="2"/>
            <w:tcBorders>
              <w:top w:val="nil"/>
              <w:left w:val="nil"/>
              <w:bottom w:val="nil"/>
              <w:right w:val="nil"/>
            </w:tcBorders>
            <w:shd w:val="clear" w:color="auto" w:fill="FFFFFF"/>
            <w:vAlign w:val="bottom"/>
          </w:tcPr>
          <w:p w14:paraId="2F9F3DB0"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0B0E5149" w14:textId="77777777" w:rsidR="00A031A6" w:rsidRDefault="00916FD0">
            <w:pPr>
              <w:jc w:val="right"/>
              <w:rPr>
                <w:color w:val="000000"/>
                <w:sz w:val="14"/>
                <w:szCs w:val="14"/>
              </w:rPr>
            </w:pPr>
            <w:r>
              <w:rPr>
                <w:color w:val="000000"/>
                <w:sz w:val="14"/>
                <w:szCs w:val="14"/>
              </w:rPr>
              <w:t>85,630,134</w:t>
            </w:r>
          </w:p>
        </w:tc>
        <w:tc>
          <w:tcPr>
            <w:tcW w:w="986" w:type="dxa"/>
            <w:gridSpan w:val="2"/>
            <w:tcBorders>
              <w:top w:val="nil"/>
              <w:left w:val="nil"/>
              <w:bottom w:val="nil"/>
              <w:right w:val="nil"/>
            </w:tcBorders>
            <w:shd w:val="clear" w:color="auto" w:fill="FFFFFF"/>
            <w:vAlign w:val="bottom"/>
          </w:tcPr>
          <w:p w14:paraId="3F510C2A" w14:textId="77777777" w:rsidR="00A031A6" w:rsidRDefault="00916FD0">
            <w:pPr>
              <w:jc w:val="right"/>
              <w:rPr>
                <w:color w:val="000000"/>
                <w:sz w:val="14"/>
                <w:szCs w:val="14"/>
              </w:rPr>
            </w:pPr>
            <w:r>
              <w:rPr>
                <w:color w:val="000000"/>
                <w:sz w:val="14"/>
                <w:szCs w:val="14"/>
              </w:rPr>
              <w:t>81%</w:t>
            </w:r>
          </w:p>
        </w:tc>
        <w:tc>
          <w:tcPr>
            <w:tcW w:w="1214" w:type="dxa"/>
            <w:gridSpan w:val="2"/>
            <w:tcBorders>
              <w:top w:val="nil"/>
              <w:left w:val="nil"/>
              <w:bottom w:val="nil"/>
              <w:right w:val="nil"/>
            </w:tcBorders>
            <w:shd w:val="clear" w:color="auto" w:fill="FFFFFF"/>
            <w:vAlign w:val="bottom"/>
          </w:tcPr>
          <w:p w14:paraId="234C70A7" w14:textId="77777777" w:rsidR="00A031A6" w:rsidRDefault="00916FD0">
            <w:pPr>
              <w:jc w:val="right"/>
              <w:rPr>
                <w:color w:val="000000"/>
                <w:sz w:val="14"/>
                <w:szCs w:val="14"/>
              </w:rPr>
            </w:pPr>
            <w:r>
              <w:rPr>
                <w:color w:val="000000"/>
                <w:sz w:val="14"/>
                <w:szCs w:val="14"/>
              </w:rPr>
              <w:t>20,482,601</w:t>
            </w:r>
          </w:p>
        </w:tc>
        <w:tc>
          <w:tcPr>
            <w:tcW w:w="1216" w:type="dxa"/>
            <w:gridSpan w:val="2"/>
            <w:tcBorders>
              <w:top w:val="nil"/>
              <w:left w:val="nil"/>
              <w:bottom w:val="nil"/>
              <w:right w:val="nil"/>
            </w:tcBorders>
            <w:shd w:val="clear" w:color="auto" w:fill="FFFFFF"/>
            <w:vAlign w:val="bottom"/>
          </w:tcPr>
          <w:p w14:paraId="468A7A1A" w14:textId="77777777" w:rsidR="00A031A6" w:rsidRDefault="00916FD0">
            <w:pPr>
              <w:jc w:val="right"/>
              <w:rPr>
                <w:color w:val="000000"/>
                <w:sz w:val="14"/>
                <w:szCs w:val="14"/>
              </w:rPr>
            </w:pPr>
            <w:r>
              <w:rPr>
                <w:color w:val="000000"/>
                <w:sz w:val="14"/>
                <w:szCs w:val="14"/>
              </w:rPr>
              <w:t>19%</w:t>
            </w:r>
          </w:p>
        </w:tc>
        <w:tc>
          <w:tcPr>
            <w:tcW w:w="988" w:type="dxa"/>
            <w:gridSpan w:val="2"/>
            <w:tcBorders>
              <w:top w:val="nil"/>
              <w:left w:val="nil"/>
              <w:bottom w:val="nil"/>
              <w:right w:val="nil"/>
            </w:tcBorders>
            <w:shd w:val="clear" w:color="auto" w:fill="FFFFFF"/>
            <w:vAlign w:val="bottom"/>
          </w:tcPr>
          <w:p w14:paraId="497B2391" w14:textId="77777777" w:rsidR="00A031A6" w:rsidRDefault="00916FD0">
            <w:pPr>
              <w:jc w:val="right"/>
              <w:rPr>
                <w:color w:val="000000"/>
                <w:sz w:val="14"/>
                <w:szCs w:val="14"/>
              </w:rPr>
            </w:pPr>
            <w:r>
              <w:rPr>
                <w:color w:val="000000"/>
                <w:sz w:val="14"/>
                <w:szCs w:val="14"/>
              </w:rPr>
              <w:t>150%</w:t>
            </w:r>
          </w:p>
        </w:tc>
        <w:tc>
          <w:tcPr>
            <w:tcW w:w="1426" w:type="dxa"/>
            <w:gridSpan w:val="2"/>
            <w:tcBorders>
              <w:top w:val="nil"/>
              <w:left w:val="nil"/>
              <w:bottom w:val="nil"/>
              <w:right w:val="nil"/>
            </w:tcBorders>
            <w:shd w:val="clear" w:color="auto" w:fill="FFFFFF"/>
            <w:vAlign w:val="bottom"/>
          </w:tcPr>
          <w:p w14:paraId="14104FA4" w14:textId="77777777" w:rsidR="00A031A6" w:rsidRDefault="00916FD0">
            <w:pPr>
              <w:jc w:val="right"/>
              <w:rPr>
                <w:color w:val="000000"/>
                <w:sz w:val="14"/>
                <w:szCs w:val="14"/>
              </w:rPr>
            </w:pPr>
            <w:r>
              <w:rPr>
                <w:color w:val="000000"/>
                <w:sz w:val="14"/>
                <w:szCs w:val="14"/>
              </w:rPr>
              <w:t>85,023,068</w:t>
            </w:r>
          </w:p>
        </w:tc>
        <w:tc>
          <w:tcPr>
            <w:tcW w:w="1070" w:type="dxa"/>
            <w:tcBorders>
              <w:top w:val="nil"/>
              <w:left w:val="nil"/>
              <w:bottom w:val="nil"/>
              <w:right w:val="nil"/>
            </w:tcBorders>
            <w:shd w:val="clear" w:color="auto" w:fill="FFFFFF"/>
            <w:vAlign w:val="bottom"/>
          </w:tcPr>
          <w:p w14:paraId="50CBF183" w14:textId="77777777" w:rsidR="00A031A6" w:rsidRDefault="00916FD0">
            <w:pPr>
              <w:jc w:val="right"/>
              <w:rPr>
                <w:color w:val="000000"/>
                <w:sz w:val="14"/>
                <w:szCs w:val="14"/>
              </w:rPr>
            </w:pPr>
            <w:r>
              <w:rPr>
                <w:color w:val="000000"/>
                <w:sz w:val="14"/>
                <w:szCs w:val="14"/>
              </w:rPr>
              <w:t>20%</w:t>
            </w:r>
          </w:p>
        </w:tc>
      </w:tr>
      <w:tr w:rsidR="00A031A6" w14:paraId="516B45EC" w14:textId="77777777">
        <w:trPr>
          <w:trHeight w:val="57"/>
        </w:trPr>
        <w:tc>
          <w:tcPr>
            <w:tcW w:w="1560" w:type="dxa"/>
            <w:gridSpan w:val="2"/>
            <w:tcBorders>
              <w:top w:val="nil"/>
              <w:left w:val="nil"/>
              <w:bottom w:val="nil"/>
              <w:right w:val="nil"/>
            </w:tcBorders>
            <w:shd w:val="clear" w:color="auto" w:fill="FFFFFF"/>
            <w:vAlign w:val="bottom"/>
          </w:tcPr>
          <w:p w14:paraId="18AF1055" w14:textId="77777777"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14:paraId="0F1256C3" w14:textId="77777777" w:rsidR="00A031A6" w:rsidRDefault="00916FD0">
            <w:pPr>
              <w:jc w:val="right"/>
              <w:rPr>
                <w:color w:val="000000"/>
                <w:sz w:val="14"/>
                <w:szCs w:val="14"/>
              </w:rPr>
            </w:pPr>
            <w:r>
              <w:rPr>
                <w:color w:val="000000"/>
                <w:sz w:val="14"/>
                <w:szCs w:val="14"/>
              </w:rPr>
              <w:t>118,219,203</w:t>
            </w:r>
          </w:p>
        </w:tc>
        <w:tc>
          <w:tcPr>
            <w:tcW w:w="1043" w:type="dxa"/>
            <w:gridSpan w:val="2"/>
            <w:tcBorders>
              <w:top w:val="nil"/>
              <w:left w:val="nil"/>
              <w:bottom w:val="nil"/>
              <w:right w:val="nil"/>
            </w:tcBorders>
            <w:shd w:val="clear" w:color="auto" w:fill="FFFFFF"/>
            <w:vAlign w:val="bottom"/>
          </w:tcPr>
          <w:p w14:paraId="4D972E10" w14:textId="77777777" w:rsidR="00A031A6" w:rsidRDefault="00916FD0">
            <w:pPr>
              <w:jc w:val="right"/>
              <w:rPr>
                <w:color w:val="000000"/>
                <w:sz w:val="14"/>
                <w:szCs w:val="14"/>
              </w:rPr>
            </w:pPr>
            <w:r>
              <w:rPr>
                <w:color w:val="000000"/>
                <w:sz w:val="14"/>
                <w:szCs w:val="14"/>
              </w:rPr>
              <w:t>106,112,734</w:t>
            </w:r>
          </w:p>
        </w:tc>
        <w:tc>
          <w:tcPr>
            <w:tcW w:w="967" w:type="dxa"/>
            <w:gridSpan w:val="2"/>
            <w:tcBorders>
              <w:top w:val="nil"/>
              <w:left w:val="nil"/>
              <w:bottom w:val="nil"/>
              <w:right w:val="nil"/>
            </w:tcBorders>
            <w:shd w:val="clear" w:color="auto" w:fill="FFFFFF"/>
            <w:vAlign w:val="bottom"/>
          </w:tcPr>
          <w:p w14:paraId="3BCEF0A2" w14:textId="77777777" w:rsidR="00A031A6" w:rsidRDefault="00916FD0">
            <w:pPr>
              <w:jc w:val="right"/>
              <w:rPr>
                <w:color w:val="000000"/>
                <w:sz w:val="14"/>
                <w:szCs w:val="14"/>
              </w:rPr>
            </w:pPr>
            <w:r>
              <w:rPr>
                <w:color w:val="000000"/>
                <w:sz w:val="14"/>
                <w:szCs w:val="14"/>
              </w:rPr>
              <w:t>22,717,742</w:t>
            </w:r>
          </w:p>
        </w:tc>
        <w:tc>
          <w:tcPr>
            <w:tcW w:w="1510" w:type="dxa"/>
            <w:gridSpan w:val="2"/>
            <w:tcBorders>
              <w:top w:val="nil"/>
              <w:left w:val="nil"/>
              <w:bottom w:val="nil"/>
              <w:right w:val="nil"/>
            </w:tcBorders>
            <w:shd w:val="clear" w:color="auto" w:fill="FFFFFF"/>
            <w:vAlign w:val="bottom"/>
          </w:tcPr>
          <w:p w14:paraId="0CF24202" w14:textId="77777777" w:rsidR="00A031A6" w:rsidRDefault="00916FD0">
            <w:pPr>
              <w:jc w:val="right"/>
              <w:rPr>
                <w:color w:val="000000"/>
                <w:sz w:val="14"/>
                <w:szCs w:val="14"/>
              </w:rPr>
            </w:pPr>
            <w:r>
              <w:rPr>
                <w:color w:val="000000"/>
                <w:sz w:val="14"/>
                <w:szCs w:val="14"/>
              </w:rPr>
              <w:t>8,563,013</w:t>
            </w:r>
          </w:p>
        </w:tc>
        <w:tc>
          <w:tcPr>
            <w:tcW w:w="1254" w:type="dxa"/>
            <w:gridSpan w:val="2"/>
            <w:tcBorders>
              <w:top w:val="nil"/>
              <w:left w:val="nil"/>
              <w:bottom w:val="nil"/>
              <w:right w:val="nil"/>
            </w:tcBorders>
            <w:shd w:val="clear" w:color="auto" w:fill="FFFFFF"/>
            <w:vAlign w:val="bottom"/>
          </w:tcPr>
          <w:p w14:paraId="44DB0152" w14:textId="77777777" w:rsidR="00A031A6" w:rsidRDefault="00916FD0">
            <w:pPr>
              <w:jc w:val="right"/>
              <w:rPr>
                <w:color w:val="000000"/>
                <w:sz w:val="14"/>
                <w:szCs w:val="14"/>
              </w:rPr>
            </w:pPr>
            <w:r>
              <w:rPr>
                <w:color w:val="000000"/>
                <w:sz w:val="14"/>
                <w:szCs w:val="14"/>
              </w:rPr>
              <w:t>2,048,260</w:t>
            </w:r>
          </w:p>
        </w:tc>
        <w:tc>
          <w:tcPr>
            <w:tcW w:w="995" w:type="dxa"/>
            <w:tcBorders>
              <w:top w:val="nil"/>
              <w:left w:val="nil"/>
              <w:bottom w:val="nil"/>
              <w:right w:val="nil"/>
            </w:tcBorders>
            <w:shd w:val="clear" w:color="auto" w:fill="FFFFFF"/>
            <w:vAlign w:val="bottom"/>
          </w:tcPr>
          <w:p w14:paraId="20CE8247" w14:textId="77777777" w:rsidR="00A031A6" w:rsidRDefault="00916FD0">
            <w:pPr>
              <w:jc w:val="right"/>
              <w:rPr>
                <w:color w:val="000000"/>
                <w:sz w:val="14"/>
                <w:szCs w:val="14"/>
              </w:rPr>
            </w:pPr>
            <w:r>
              <w:rPr>
                <w:color w:val="000000"/>
                <w:sz w:val="14"/>
                <w:szCs w:val="14"/>
              </w:rPr>
              <w:t>77,067,120</w:t>
            </w:r>
          </w:p>
        </w:tc>
        <w:tc>
          <w:tcPr>
            <w:tcW w:w="986" w:type="dxa"/>
            <w:gridSpan w:val="2"/>
            <w:tcBorders>
              <w:top w:val="nil"/>
              <w:left w:val="nil"/>
              <w:bottom w:val="nil"/>
              <w:right w:val="nil"/>
            </w:tcBorders>
            <w:shd w:val="clear" w:color="auto" w:fill="FFFFFF"/>
            <w:vAlign w:val="bottom"/>
          </w:tcPr>
          <w:p w14:paraId="2D68AF51" w14:textId="77777777" w:rsidR="00A031A6" w:rsidRDefault="00916FD0">
            <w:pPr>
              <w:jc w:val="right"/>
              <w:rPr>
                <w:color w:val="000000"/>
                <w:sz w:val="14"/>
                <w:szCs w:val="14"/>
              </w:rPr>
            </w:pPr>
            <w:r>
              <w:rPr>
                <w:color w:val="000000"/>
                <w:sz w:val="14"/>
                <w:szCs w:val="14"/>
              </w:rPr>
              <w:t>65%</w:t>
            </w:r>
          </w:p>
        </w:tc>
        <w:tc>
          <w:tcPr>
            <w:tcW w:w="1214" w:type="dxa"/>
            <w:gridSpan w:val="2"/>
            <w:tcBorders>
              <w:top w:val="nil"/>
              <w:left w:val="nil"/>
              <w:bottom w:val="nil"/>
              <w:right w:val="nil"/>
            </w:tcBorders>
            <w:shd w:val="clear" w:color="auto" w:fill="FFFFFF"/>
            <w:vAlign w:val="bottom"/>
          </w:tcPr>
          <w:p w14:paraId="241A81E1" w14:textId="77777777" w:rsidR="00A031A6" w:rsidRDefault="00916FD0">
            <w:pPr>
              <w:jc w:val="right"/>
              <w:rPr>
                <w:color w:val="000000"/>
                <w:sz w:val="14"/>
                <w:szCs w:val="14"/>
              </w:rPr>
            </w:pPr>
            <w:r>
              <w:rPr>
                <w:color w:val="000000"/>
                <w:sz w:val="14"/>
                <w:szCs w:val="14"/>
              </w:rPr>
              <w:t>41,152,083</w:t>
            </w:r>
          </w:p>
        </w:tc>
        <w:tc>
          <w:tcPr>
            <w:tcW w:w="1216" w:type="dxa"/>
            <w:gridSpan w:val="2"/>
            <w:tcBorders>
              <w:top w:val="nil"/>
              <w:left w:val="nil"/>
              <w:bottom w:val="nil"/>
              <w:right w:val="nil"/>
            </w:tcBorders>
            <w:shd w:val="clear" w:color="auto" w:fill="FFFFFF"/>
            <w:vAlign w:val="bottom"/>
          </w:tcPr>
          <w:p w14:paraId="27F56B35" w14:textId="77777777" w:rsidR="00A031A6" w:rsidRDefault="00916FD0">
            <w:pPr>
              <w:jc w:val="right"/>
              <w:rPr>
                <w:color w:val="000000"/>
                <w:sz w:val="14"/>
                <w:szCs w:val="14"/>
              </w:rPr>
            </w:pPr>
            <w:r>
              <w:rPr>
                <w:color w:val="000000"/>
                <w:sz w:val="14"/>
                <w:szCs w:val="14"/>
              </w:rPr>
              <w:t>35%</w:t>
            </w:r>
          </w:p>
        </w:tc>
        <w:tc>
          <w:tcPr>
            <w:tcW w:w="988" w:type="dxa"/>
            <w:gridSpan w:val="2"/>
            <w:tcBorders>
              <w:top w:val="nil"/>
              <w:left w:val="nil"/>
              <w:bottom w:val="nil"/>
              <w:right w:val="nil"/>
            </w:tcBorders>
            <w:shd w:val="clear" w:color="auto" w:fill="FFFFFF"/>
            <w:vAlign w:val="bottom"/>
          </w:tcPr>
          <w:p w14:paraId="0D1E9B43" w14:textId="77777777" w:rsidR="00A031A6" w:rsidRDefault="00916FD0">
            <w:pPr>
              <w:jc w:val="right"/>
              <w:rPr>
                <w:color w:val="000000"/>
                <w:sz w:val="14"/>
                <w:szCs w:val="14"/>
              </w:rPr>
            </w:pPr>
            <w:r>
              <w:rPr>
                <w:color w:val="000000"/>
                <w:sz w:val="14"/>
                <w:szCs w:val="14"/>
              </w:rPr>
              <w:t>165%</w:t>
            </w:r>
          </w:p>
        </w:tc>
        <w:tc>
          <w:tcPr>
            <w:tcW w:w="1426" w:type="dxa"/>
            <w:gridSpan w:val="2"/>
            <w:tcBorders>
              <w:top w:val="nil"/>
              <w:left w:val="nil"/>
              <w:bottom w:val="nil"/>
              <w:right w:val="nil"/>
            </w:tcBorders>
            <w:shd w:val="clear" w:color="auto" w:fill="FFFFFF"/>
            <w:vAlign w:val="bottom"/>
          </w:tcPr>
          <w:p w14:paraId="6A3705FF" w14:textId="77777777" w:rsidR="00A031A6" w:rsidRDefault="00916FD0">
            <w:pPr>
              <w:jc w:val="right"/>
              <w:rPr>
                <w:color w:val="000000"/>
                <w:sz w:val="14"/>
                <w:szCs w:val="14"/>
              </w:rPr>
            </w:pPr>
            <w:r>
              <w:rPr>
                <w:color w:val="000000"/>
                <w:sz w:val="14"/>
                <w:szCs w:val="14"/>
              </w:rPr>
              <w:t>85,836,678</w:t>
            </w:r>
          </w:p>
        </w:tc>
        <w:tc>
          <w:tcPr>
            <w:tcW w:w="1070" w:type="dxa"/>
            <w:tcBorders>
              <w:top w:val="nil"/>
              <w:left w:val="nil"/>
              <w:bottom w:val="nil"/>
              <w:right w:val="nil"/>
            </w:tcBorders>
            <w:shd w:val="clear" w:color="auto" w:fill="FFFFFF"/>
            <w:vAlign w:val="bottom"/>
          </w:tcPr>
          <w:p w14:paraId="5BEDEB5D" w14:textId="77777777" w:rsidR="00A031A6" w:rsidRDefault="00916FD0">
            <w:pPr>
              <w:jc w:val="right"/>
              <w:rPr>
                <w:color w:val="000000"/>
                <w:sz w:val="14"/>
                <w:szCs w:val="14"/>
              </w:rPr>
            </w:pPr>
            <w:r>
              <w:rPr>
                <w:color w:val="000000"/>
                <w:sz w:val="14"/>
                <w:szCs w:val="14"/>
              </w:rPr>
              <w:t>27%</w:t>
            </w:r>
          </w:p>
        </w:tc>
      </w:tr>
      <w:tr w:rsidR="00A031A6" w14:paraId="3FE3DF7E" w14:textId="77777777">
        <w:trPr>
          <w:trHeight w:val="57"/>
        </w:trPr>
        <w:tc>
          <w:tcPr>
            <w:tcW w:w="1560" w:type="dxa"/>
            <w:gridSpan w:val="2"/>
            <w:tcBorders>
              <w:top w:val="nil"/>
              <w:left w:val="nil"/>
              <w:bottom w:val="nil"/>
              <w:right w:val="nil"/>
            </w:tcBorders>
            <w:shd w:val="clear" w:color="auto" w:fill="FFFFFF"/>
            <w:vAlign w:val="bottom"/>
          </w:tcPr>
          <w:p w14:paraId="1B66413C" w14:textId="77777777"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14:paraId="3CE14DC0" w14:textId="77777777" w:rsidR="00A031A6" w:rsidRDefault="00916FD0">
            <w:pPr>
              <w:jc w:val="right"/>
              <w:rPr>
                <w:color w:val="000000"/>
                <w:sz w:val="14"/>
                <w:szCs w:val="14"/>
              </w:rPr>
            </w:pPr>
            <w:r>
              <w:rPr>
                <w:color w:val="000000"/>
                <w:sz w:val="14"/>
                <w:szCs w:val="14"/>
              </w:rPr>
              <w:t>131,594,075</w:t>
            </w:r>
          </w:p>
        </w:tc>
        <w:tc>
          <w:tcPr>
            <w:tcW w:w="1043" w:type="dxa"/>
            <w:gridSpan w:val="2"/>
            <w:tcBorders>
              <w:top w:val="nil"/>
              <w:left w:val="nil"/>
              <w:bottom w:val="nil"/>
              <w:right w:val="nil"/>
            </w:tcBorders>
            <w:shd w:val="clear" w:color="auto" w:fill="FFFFFF"/>
            <w:vAlign w:val="bottom"/>
          </w:tcPr>
          <w:p w14:paraId="2A708602" w14:textId="77777777" w:rsidR="00A031A6" w:rsidRDefault="00916FD0">
            <w:pPr>
              <w:jc w:val="right"/>
              <w:rPr>
                <w:color w:val="000000"/>
                <w:sz w:val="14"/>
                <w:szCs w:val="14"/>
              </w:rPr>
            </w:pPr>
            <w:r>
              <w:rPr>
                <w:color w:val="000000"/>
                <w:sz w:val="14"/>
                <w:szCs w:val="14"/>
              </w:rPr>
              <w:t>118,219,203</w:t>
            </w:r>
          </w:p>
        </w:tc>
        <w:tc>
          <w:tcPr>
            <w:tcW w:w="967" w:type="dxa"/>
            <w:gridSpan w:val="2"/>
            <w:tcBorders>
              <w:top w:val="nil"/>
              <w:left w:val="nil"/>
              <w:bottom w:val="nil"/>
              <w:right w:val="nil"/>
            </w:tcBorders>
            <w:shd w:val="clear" w:color="auto" w:fill="FFFFFF"/>
            <w:vAlign w:val="bottom"/>
          </w:tcPr>
          <w:p w14:paraId="39D1CA9A" w14:textId="77777777" w:rsidR="00A031A6" w:rsidRDefault="00916FD0">
            <w:pPr>
              <w:jc w:val="right"/>
              <w:rPr>
                <w:color w:val="000000"/>
                <w:sz w:val="14"/>
                <w:szCs w:val="14"/>
              </w:rPr>
            </w:pPr>
            <w:r>
              <w:rPr>
                <w:color w:val="000000"/>
                <w:sz w:val="14"/>
                <w:szCs w:val="14"/>
              </w:rPr>
              <w:t>25,196,792</w:t>
            </w:r>
          </w:p>
        </w:tc>
        <w:tc>
          <w:tcPr>
            <w:tcW w:w="1510" w:type="dxa"/>
            <w:gridSpan w:val="2"/>
            <w:tcBorders>
              <w:top w:val="nil"/>
              <w:left w:val="nil"/>
              <w:bottom w:val="nil"/>
              <w:right w:val="nil"/>
            </w:tcBorders>
            <w:shd w:val="clear" w:color="auto" w:fill="FFFFFF"/>
            <w:vAlign w:val="bottom"/>
          </w:tcPr>
          <w:p w14:paraId="4056418C" w14:textId="77777777" w:rsidR="00A031A6" w:rsidRDefault="00916FD0">
            <w:pPr>
              <w:jc w:val="right"/>
              <w:rPr>
                <w:color w:val="000000"/>
                <w:sz w:val="14"/>
                <w:szCs w:val="14"/>
              </w:rPr>
            </w:pPr>
            <w:r>
              <w:rPr>
                <w:color w:val="000000"/>
                <w:sz w:val="14"/>
                <w:szCs w:val="14"/>
              </w:rPr>
              <w:t>7,706,712</w:t>
            </w:r>
          </w:p>
        </w:tc>
        <w:tc>
          <w:tcPr>
            <w:tcW w:w="1254" w:type="dxa"/>
            <w:gridSpan w:val="2"/>
            <w:tcBorders>
              <w:top w:val="nil"/>
              <w:left w:val="nil"/>
              <w:bottom w:val="nil"/>
              <w:right w:val="nil"/>
            </w:tcBorders>
            <w:shd w:val="clear" w:color="auto" w:fill="FFFFFF"/>
            <w:vAlign w:val="bottom"/>
          </w:tcPr>
          <w:p w14:paraId="481D7C43" w14:textId="77777777" w:rsidR="00A031A6" w:rsidRDefault="00916FD0">
            <w:pPr>
              <w:jc w:val="right"/>
              <w:rPr>
                <w:color w:val="000000"/>
                <w:sz w:val="14"/>
                <w:szCs w:val="14"/>
              </w:rPr>
            </w:pPr>
            <w:r>
              <w:rPr>
                <w:color w:val="000000"/>
                <w:sz w:val="14"/>
                <w:szCs w:val="14"/>
              </w:rPr>
              <w:t>4,115,208</w:t>
            </w:r>
          </w:p>
        </w:tc>
        <w:tc>
          <w:tcPr>
            <w:tcW w:w="995" w:type="dxa"/>
            <w:tcBorders>
              <w:top w:val="nil"/>
              <w:left w:val="nil"/>
              <w:bottom w:val="nil"/>
              <w:right w:val="nil"/>
            </w:tcBorders>
            <w:shd w:val="clear" w:color="auto" w:fill="FFFFFF"/>
            <w:vAlign w:val="bottom"/>
          </w:tcPr>
          <w:p w14:paraId="2E34FF77" w14:textId="77777777" w:rsidR="00A031A6" w:rsidRDefault="00916FD0">
            <w:pPr>
              <w:jc w:val="right"/>
              <w:rPr>
                <w:color w:val="000000"/>
                <w:sz w:val="14"/>
                <w:szCs w:val="14"/>
              </w:rPr>
            </w:pPr>
            <w:r>
              <w:rPr>
                <w:color w:val="000000"/>
                <w:sz w:val="14"/>
                <w:szCs w:val="14"/>
              </w:rPr>
              <w:t>69,360,408</w:t>
            </w:r>
          </w:p>
        </w:tc>
        <w:tc>
          <w:tcPr>
            <w:tcW w:w="986" w:type="dxa"/>
            <w:gridSpan w:val="2"/>
            <w:tcBorders>
              <w:top w:val="nil"/>
              <w:left w:val="nil"/>
              <w:bottom w:val="nil"/>
              <w:right w:val="nil"/>
            </w:tcBorders>
            <w:shd w:val="clear" w:color="auto" w:fill="FFFFFF"/>
            <w:vAlign w:val="bottom"/>
          </w:tcPr>
          <w:p w14:paraId="42394C00" w14:textId="77777777" w:rsidR="00A031A6" w:rsidRDefault="00916FD0">
            <w:pPr>
              <w:jc w:val="right"/>
              <w:rPr>
                <w:color w:val="000000"/>
                <w:sz w:val="14"/>
                <w:szCs w:val="14"/>
              </w:rPr>
            </w:pPr>
            <w:r>
              <w:rPr>
                <w:color w:val="000000"/>
                <w:sz w:val="14"/>
                <w:szCs w:val="14"/>
              </w:rPr>
              <w:t>53%</w:t>
            </w:r>
          </w:p>
        </w:tc>
        <w:tc>
          <w:tcPr>
            <w:tcW w:w="1214" w:type="dxa"/>
            <w:gridSpan w:val="2"/>
            <w:tcBorders>
              <w:top w:val="nil"/>
              <w:left w:val="nil"/>
              <w:bottom w:val="nil"/>
              <w:right w:val="nil"/>
            </w:tcBorders>
            <w:shd w:val="clear" w:color="auto" w:fill="FFFFFF"/>
            <w:vAlign w:val="bottom"/>
          </w:tcPr>
          <w:p w14:paraId="2B2578B0" w14:textId="77777777" w:rsidR="00A031A6" w:rsidRDefault="00916FD0">
            <w:pPr>
              <w:jc w:val="right"/>
              <w:rPr>
                <w:color w:val="000000"/>
                <w:sz w:val="14"/>
                <w:szCs w:val="14"/>
              </w:rPr>
            </w:pPr>
            <w:r>
              <w:rPr>
                <w:color w:val="000000"/>
                <w:sz w:val="14"/>
                <w:szCs w:val="14"/>
              </w:rPr>
              <w:t>62,233,666</w:t>
            </w:r>
          </w:p>
        </w:tc>
        <w:tc>
          <w:tcPr>
            <w:tcW w:w="1216" w:type="dxa"/>
            <w:gridSpan w:val="2"/>
            <w:tcBorders>
              <w:top w:val="nil"/>
              <w:left w:val="nil"/>
              <w:bottom w:val="nil"/>
              <w:right w:val="nil"/>
            </w:tcBorders>
            <w:shd w:val="clear" w:color="auto" w:fill="FFFFFF"/>
            <w:vAlign w:val="bottom"/>
          </w:tcPr>
          <w:p w14:paraId="5793C5DD" w14:textId="77777777" w:rsidR="00A031A6" w:rsidRDefault="00916FD0">
            <w:pPr>
              <w:jc w:val="right"/>
              <w:rPr>
                <w:color w:val="000000"/>
                <w:sz w:val="14"/>
                <w:szCs w:val="14"/>
              </w:rPr>
            </w:pPr>
            <w:r>
              <w:rPr>
                <w:color w:val="000000"/>
                <w:sz w:val="14"/>
                <w:szCs w:val="14"/>
              </w:rPr>
              <w:t>47%</w:t>
            </w:r>
          </w:p>
        </w:tc>
        <w:tc>
          <w:tcPr>
            <w:tcW w:w="988" w:type="dxa"/>
            <w:gridSpan w:val="2"/>
            <w:tcBorders>
              <w:top w:val="nil"/>
              <w:left w:val="nil"/>
              <w:bottom w:val="nil"/>
              <w:right w:val="nil"/>
            </w:tcBorders>
            <w:shd w:val="clear" w:color="auto" w:fill="FFFFFF"/>
            <w:vAlign w:val="bottom"/>
          </w:tcPr>
          <w:p w14:paraId="5B1A8587" w14:textId="77777777" w:rsidR="00A031A6" w:rsidRDefault="00916FD0">
            <w:pPr>
              <w:jc w:val="right"/>
              <w:rPr>
                <w:color w:val="000000"/>
                <w:sz w:val="14"/>
                <w:szCs w:val="14"/>
              </w:rPr>
            </w:pPr>
            <w:r>
              <w:rPr>
                <w:color w:val="000000"/>
                <w:sz w:val="14"/>
                <w:szCs w:val="14"/>
              </w:rPr>
              <w:t>182%</w:t>
            </w:r>
          </w:p>
        </w:tc>
        <w:tc>
          <w:tcPr>
            <w:tcW w:w="1426" w:type="dxa"/>
            <w:gridSpan w:val="2"/>
            <w:tcBorders>
              <w:top w:val="nil"/>
              <w:left w:val="nil"/>
              <w:bottom w:val="nil"/>
              <w:right w:val="nil"/>
            </w:tcBorders>
            <w:shd w:val="clear" w:color="auto" w:fill="FFFFFF"/>
            <w:vAlign w:val="bottom"/>
          </w:tcPr>
          <w:p w14:paraId="23816882" w14:textId="77777777" w:rsidR="00A031A6" w:rsidRDefault="00916FD0">
            <w:pPr>
              <w:jc w:val="right"/>
              <w:rPr>
                <w:color w:val="000000"/>
                <w:sz w:val="14"/>
                <w:szCs w:val="14"/>
              </w:rPr>
            </w:pPr>
            <w:r>
              <w:rPr>
                <w:color w:val="000000"/>
                <w:sz w:val="14"/>
                <w:szCs w:val="14"/>
              </w:rPr>
              <w:t>86,650,286</w:t>
            </w:r>
          </w:p>
        </w:tc>
        <w:tc>
          <w:tcPr>
            <w:tcW w:w="1070" w:type="dxa"/>
            <w:tcBorders>
              <w:top w:val="nil"/>
              <w:left w:val="nil"/>
              <w:bottom w:val="nil"/>
              <w:right w:val="nil"/>
            </w:tcBorders>
            <w:shd w:val="clear" w:color="auto" w:fill="FFFFFF"/>
            <w:vAlign w:val="bottom"/>
          </w:tcPr>
          <w:p w14:paraId="3692FC3F" w14:textId="77777777" w:rsidR="00A031A6" w:rsidRDefault="00916FD0">
            <w:pPr>
              <w:jc w:val="right"/>
              <w:rPr>
                <w:color w:val="000000"/>
                <w:sz w:val="14"/>
                <w:szCs w:val="14"/>
              </w:rPr>
            </w:pPr>
            <w:r>
              <w:rPr>
                <w:color w:val="000000"/>
                <w:sz w:val="14"/>
                <w:szCs w:val="14"/>
              </w:rPr>
              <w:t>34%</w:t>
            </w:r>
          </w:p>
        </w:tc>
      </w:tr>
      <w:tr w:rsidR="00A031A6" w14:paraId="5ABC748D" w14:textId="77777777">
        <w:trPr>
          <w:trHeight w:val="57"/>
        </w:trPr>
        <w:tc>
          <w:tcPr>
            <w:tcW w:w="1560" w:type="dxa"/>
            <w:gridSpan w:val="2"/>
            <w:tcBorders>
              <w:top w:val="nil"/>
              <w:left w:val="nil"/>
              <w:bottom w:val="nil"/>
              <w:right w:val="nil"/>
            </w:tcBorders>
            <w:shd w:val="clear" w:color="auto" w:fill="FFFFFF"/>
            <w:vAlign w:val="bottom"/>
          </w:tcPr>
          <w:p w14:paraId="2401C01D" w14:textId="77777777"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14:paraId="7233DC1E" w14:textId="77777777" w:rsidR="00A031A6" w:rsidRDefault="00916FD0">
            <w:pPr>
              <w:jc w:val="right"/>
              <w:rPr>
                <w:color w:val="000000"/>
                <w:sz w:val="14"/>
                <w:szCs w:val="14"/>
              </w:rPr>
            </w:pPr>
            <w:r>
              <w:rPr>
                <w:color w:val="000000"/>
                <w:sz w:val="14"/>
                <w:szCs w:val="14"/>
              </w:rPr>
              <w:t>146,381,032</w:t>
            </w:r>
          </w:p>
        </w:tc>
        <w:tc>
          <w:tcPr>
            <w:tcW w:w="1043" w:type="dxa"/>
            <w:gridSpan w:val="2"/>
            <w:tcBorders>
              <w:top w:val="nil"/>
              <w:left w:val="nil"/>
              <w:bottom w:val="nil"/>
              <w:right w:val="nil"/>
            </w:tcBorders>
            <w:shd w:val="clear" w:color="auto" w:fill="FFFFFF"/>
            <w:vAlign w:val="bottom"/>
          </w:tcPr>
          <w:p w14:paraId="4A9064F5" w14:textId="77777777" w:rsidR="00A031A6" w:rsidRDefault="00916FD0">
            <w:pPr>
              <w:jc w:val="right"/>
              <w:rPr>
                <w:color w:val="000000"/>
                <w:sz w:val="14"/>
                <w:szCs w:val="14"/>
              </w:rPr>
            </w:pPr>
            <w:r>
              <w:rPr>
                <w:color w:val="000000"/>
                <w:sz w:val="14"/>
                <w:szCs w:val="14"/>
              </w:rPr>
              <w:t>131,594,075</w:t>
            </w:r>
          </w:p>
        </w:tc>
        <w:tc>
          <w:tcPr>
            <w:tcW w:w="967" w:type="dxa"/>
            <w:gridSpan w:val="2"/>
            <w:tcBorders>
              <w:top w:val="nil"/>
              <w:left w:val="nil"/>
              <w:bottom w:val="nil"/>
              <w:right w:val="nil"/>
            </w:tcBorders>
            <w:shd w:val="clear" w:color="auto" w:fill="FFFFFF"/>
            <w:vAlign w:val="bottom"/>
          </w:tcPr>
          <w:p w14:paraId="207DE0CD" w14:textId="77777777" w:rsidR="00A031A6" w:rsidRDefault="00916FD0">
            <w:pPr>
              <w:jc w:val="right"/>
              <w:rPr>
                <w:color w:val="000000"/>
                <w:sz w:val="14"/>
                <w:szCs w:val="14"/>
              </w:rPr>
            </w:pPr>
            <w:r>
              <w:rPr>
                <w:color w:val="000000"/>
                <w:sz w:val="14"/>
                <w:szCs w:val="14"/>
              </w:rPr>
              <w:t>27,946,365</w:t>
            </w:r>
          </w:p>
        </w:tc>
        <w:tc>
          <w:tcPr>
            <w:tcW w:w="1510" w:type="dxa"/>
            <w:gridSpan w:val="2"/>
            <w:tcBorders>
              <w:top w:val="nil"/>
              <w:left w:val="nil"/>
              <w:bottom w:val="nil"/>
              <w:right w:val="nil"/>
            </w:tcBorders>
            <w:shd w:val="clear" w:color="auto" w:fill="FFFFFF"/>
            <w:vAlign w:val="bottom"/>
          </w:tcPr>
          <w:p w14:paraId="1825CB20" w14:textId="77777777" w:rsidR="00A031A6" w:rsidRDefault="00916FD0">
            <w:pPr>
              <w:jc w:val="right"/>
              <w:rPr>
                <w:color w:val="000000"/>
                <w:sz w:val="14"/>
                <w:szCs w:val="14"/>
              </w:rPr>
            </w:pPr>
            <w:r>
              <w:rPr>
                <w:color w:val="000000"/>
                <w:sz w:val="14"/>
                <w:szCs w:val="14"/>
              </w:rPr>
              <w:t>6,936,041</w:t>
            </w:r>
          </w:p>
        </w:tc>
        <w:tc>
          <w:tcPr>
            <w:tcW w:w="1254" w:type="dxa"/>
            <w:gridSpan w:val="2"/>
            <w:tcBorders>
              <w:top w:val="nil"/>
              <w:left w:val="nil"/>
              <w:bottom w:val="nil"/>
              <w:right w:val="nil"/>
            </w:tcBorders>
            <w:shd w:val="clear" w:color="auto" w:fill="FFFFFF"/>
            <w:vAlign w:val="bottom"/>
          </w:tcPr>
          <w:p w14:paraId="7CEE5C5E" w14:textId="77777777" w:rsidR="00A031A6" w:rsidRDefault="00916FD0">
            <w:pPr>
              <w:jc w:val="right"/>
              <w:rPr>
                <w:color w:val="000000"/>
                <w:sz w:val="14"/>
                <w:szCs w:val="14"/>
              </w:rPr>
            </w:pPr>
            <w:r>
              <w:rPr>
                <w:color w:val="000000"/>
                <w:sz w:val="14"/>
                <w:szCs w:val="14"/>
              </w:rPr>
              <w:t>6,223,367</w:t>
            </w:r>
          </w:p>
        </w:tc>
        <w:tc>
          <w:tcPr>
            <w:tcW w:w="995" w:type="dxa"/>
            <w:tcBorders>
              <w:top w:val="nil"/>
              <w:left w:val="nil"/>
              <w:bottom w:val="nil"/>
              <w:right w:val="nil"/>
            </w:tcBorders>
            <w:shd w:val="clear" w:color="auto" w:fill="FFFFFF"/>
            <w:vAlign w:val="bottom"/>
          </w:tcPr>
          <w:p w14:paraId="5F5A88DE" w14:textId="77777777" w:rsidR="00A031A6" w:rsidRDefault="00916FD0">
            <w:pPr>
              <w:jc w:val="right"/>
              <w:rPr>
                <w:color w:val="000000"/>
                <w:sz w:val="14"/>
                <w:szCs w:val="14"/>
              </w:rPr>
            </w:pPr>
            <w:r>
              <w:rPr>
                <w:color w:val="000000"/>
                <w:sz w:val="14"/>
                <w:szCs w:val="14"/>
              </w:rPr>
              <w:t>62,424,367</w:t>
            </w:r>
          </w:p>
        </w:tc>
        <w:tc>
          <w:tcPr>
            <w:tcW w:w="986" w:type="dxa"/>
            <w:gridSpan w:val="2"/>
            <w:tcBorders>
              <w:top w:val="nil"/>
              <w:left w:val="nil"/>
              <w:bottom w:val="nil"/>
              <w:right w:val="nil"/>
            </w:tcBorders>
            <w:shd w:val="clear" w:color="auto" w:fill="FFFFFF"/>
            <w:vAlign w:val="bottom"/>
          </w:tcPr>
          <w:p w14:paraId="2F419D44" w14:textId="77777777" w:rsidR="00A031A6" w:rsidRDefault="00916FD0">
            <w:pPr>
              <w:jc w:val="right"/>
              <w:rPr>
                <w:color w:val="000000"/>
                <w:sz w:val="14"/>
                <w:szCs w:val="14"/>
              </w:rPr>
            </w:pPr>
            <w:r>
              <w:rPr>
                <w:color w:val="000000"/>
                <w:sz w:val="14"/>
                <w:szCs w:val="14"/>
              </w:rPr>
              <w:t>43%</w:t>
            </w:r>
          </w:p>
        </w:tc>
        <w:tc>
          <w:tcPr>
            <w:tcW w:w="1214" w:type="dxa"/>
            <w:gridSpan w:val="2"/>
            <w:tcBorders>
              <w:top w:val="nil"/>
              <w:left w:val="nil"/>
              <w:bottom w:val="nil"/>
              <w:right w:val="nil"/>
            </w:tcBorders>
            <w:shd w:val="clear" w:color="auto" w:fill="FFFFFF"/>
            <w:vAlign w:val="bottom"/>
          </w:tcPr>
          <w:p w14:paraId="033B13C5" w14:textId="77777777" w:rsidR="00A031A6" w:rsidRDefault="00916FD0">
            <w:pPr>
              <w:jc w:val="right"/>
              <w:rPr>
                <w:color w:val="000000"/>
                <w:sz w:val="14"/>
                <w:szCs w:val="14"/>
              </w:rPr>
            </w:pPr>
            <w:r>
              <w:rPr>
                <w:color w:val="000000"/>
                <w:sz w:val="14"/>
                <w:szCs w:val="14"/>
              </w:rPr>
              <w:t>83,956,664</w:t>
            </w:r>
          </w:p>
        </w:tc>
        <w:tc>
          <w:tcPr>
            <w:tcW w:w="1216" w:type="dxa"/>
            <w:gridSpan w:val="2"/>
            <w:tcBorders>
              <w:top w:val="nil"/>
              <w:left w:val="nil"/>
              <w:bottom w:val="nil"/>
              <w:right w:val="nil"/>
            </w:tcBorders>
            <w:shd w:val="clear" w:color="auto" w:fill="FFFFFF"/>
            <w:vAlign w:val="bottom"/>
          </w:tcPr>
          <w:p w14:paraId="0C722CC9" w14:textId="77777777" w:rsidR="00A031A6" w:rsidRDefault="00916FD0">
            <w:pPr>
              <w:jc w:val="right"/>
              <w:rPr>
                <w:color w:val="000000"/>
                <w:sz w:val="14"/>
                <w:szCs w:val="14"/>
              </w:rPr>
            </w:pPr>
            <w:r>
              <w:rPr>
                <w:color w:val="000000"/>
                <w:sz w:val="14"/>
                <w:szCs w:val="14"/>
              </w:rPr>
              <w:t>57%</w:t>
            </w:r>
          </w:p>
        </w:tc>
        <w:tc>
          <w:tcPr>
            <w:tcW w:w="988" w:type="dxa"/>
            <w:gridSpan w:val="2"/>
            <w:tcBorders>
              <w:top w:val="nil"/>
              <w:left w:val="nil"/>
              <w:bottom w:val="nil"/>
              <w:right w:val="nil"/>
            </w:tcBorders>
            <w:shd w:val="clear" w:color="auto" w:fill="FFFFFF"/>
            <w:vAlign w:val="bottom"/>
          </w:tcPr>
          <w:p w14:paraId="132CC1B0" w14:textId="77777777" w:rsidR="00A031A6" w:rsidRDefault="00916FD0">
            <w:pPr>
              <w:jc w:val="right"/>
              <w:rPr>
                <w:color w:val="000000"/>
                <w:sz w:val="14"/>
                <w:szCs w:val="14"/>
              </w:rPr>
            </w:pPr>
            <w:r>
              <w:rPr>
                <w:color w:val="000000"/>
                <w:sz w:val="14"/>
                <w:szCs w:val="14"/>
              </w:rPr>
              <w:t>201%</w:t>
            </w:r>
          </w:p>
        </w:tc>
        <w:tc>
          <w:tcPr>
            <w:tcW w:w="1426" w:type="dxa"/>
            <w:gridSpan w:val="2"/>
            <w:tcBorders>
              <w:top w:val="nil"/>
              <w:left w:val="nil"/>
              <w:bottom w:val="nil"/>
              <w:right w:val="nil"/>
            </w:tcBorders>
            <w:shd w:val="clear" w:color="auto" w:fill="FFFFFF"/>
            <w:vAlign w:val="bottom"/>
          </w:tcPr>
          <w:p w14:paraId="370F3CEB" w14:textId="77777777" w:rsidR="00A031A6" w:rsidRDefault="00916FD0">
            <w:pPr>
              <w:jc w:val="right"/>
              <w:rPr>
                <w:color w:val="000000"/>
                <w:sz w:val="14"/>
                <w:szCs w:val="14"/>
              </w:rPr>
            </w:pPr>
            <w:r>
              <w:rPr>
                <w:color w:val="000000"/>
                <w:sz w:val="14"/>
                <w:szCs w:val="14"/>
              </w:rPr>
              <w:t>87,463,895</w:t>
            </w:r>
          </w:p>
        </w:tc>
        <w:tc>
          <w:tcPr>
            <w:tcW w:w="1070" w:type="dxa"/>
            <w:tcBorders>
              <w:top w:val="nil"/>
              <w:left w:val="nil"/>
              <w:bottom w:val="nil"/>
              <w:right w:val="nil"/>
            </w:tcBorders>
            <w:shd w:val="clear" w:color="auto" w:fill="FFFFFF"/>
            <w:vAlign w:val="bottom"/>
          </w:tcPr>
          <w:p w14:paraId="5EA0D29B" w14:textId="77777777" w:rsidR="00A031A6" w:rsidRDefault="00916FD0">
            <w:pPr>
              <w:jc w:val="right"/>
              <w:rPr>
                <w:color w:val="000000"/>
                <w:sz w:val="14"/>
                <w:szCs w:val="14"/>
              </w:rPr>
            </w:pPr>
            <w:r>
              <w:rPr>
                <w:color w:val="000000"/>
                <w:sz w:val="14"/>
                <w:szCs w:val="14"/>
              </w:rPr>
              <w:t>40%</w:t>
            </w:r>
          </w:p>
        </w:tc>
      </w:tr>
      <w:tr w:rsidR="00A031A6" w14:paraId="126DABE3" w14:textId="77777777">
        <w:trPr>
          <w:trHeight w:val="57"/>
        </w:trPr>
        <w:tc>
          <w:tcPr>
            <w:tcW w:w="1560" w:type="dxa"/>
            <w:gridSpan w:val="2"/>
            <w:tcBorders>
              <w:top w:val="nil"/>
              <w:left w:val="nil"/>
              <w:bottom w:val="nil"/>
              <w:right w:val="nil"/>
            </w:tcBorders>
            <w:shd w:val="clear" w:color="auto" w:fill="FFFFFF"/>
            <w:vAlign w:val="bottom"/>
          </w:tcPr>
          <w:p w14:paraId="0AD022D0" w14:textId="77777777"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14:paraId="6DD43404" w14:textId="77777777" w:rsidR="00A031A6" w:rsidRDefault="00916FD0">
            <w:pPr>
              <w:jc w:val="right"/>
              <w:rPr>
                <w:color w:val="000000"/>
                <w:sz w:val="14"/>
                <w:szCs w:val="14"/>
              </w:rPr>
            </w:pPr>
            <w:r>
              <w:rPr>
                <w:color w:val="000000"/>
                <w:sz w:val="14"/>
                <w:szCs w:val="14"/>
              </w:rPr>
              <w:t>162,738,911</w:t>
            </w:r>
          </w:p>
        </w:tc>
        <w:tc>
          <w:tcPr>
            <w:tcW w:w="1043" w:type="dxa"/>
            <w:gridSpan w:val="2"/>
            <w:tcBorders>
              <w:top w:val="nil"/>
              <w:left w:val="nil"/>
              <w:bottom w:val="nil"/>
              <w:right w:val="nil"/>
            </w:tcBorders>
            <w:shd w:val="clear" w:color="auto" w:fill="FFFFFF"/>
            <w:vAlign w:val="bottom"/>
          </w:tcPr>
          <w:p w14:paraId="00DC6EF9" w14:textId="77777777" w:rsidR="00A031A6" w:rsidRDefault="00916FD0">
            <w:pPr>
              <w:jc w:val="right"/>
              <w:rPr>
                <w:color w:val="000000"/>
                <w:sz w:val="14"/>
                <w:szCs w:val="14"/>
              </w:rPr>
            </w:pPr>
            <w:r>
              <w:rPr>
                <w:color w:val="000000"/>
                <w:sz w:val="14"/>
                <w:szCs w:val="14"/>
              </w:rPr>
              <w:t>146,381,032</w:t>
            </w:r>
          </w:p>
        </w:tc>
        <w:tc>
          <w:tcPr>
            <w:tcW w:w="967" w:type="dxa"/>
            <w:gridSpan w:val="2"/>
            <w:tcBorders>
              <w:top w:val="nil"/>
              <w:left w:val="nil"/>
              <w:bottom w:val="nil"/>
              <w:right w:val="nil"/>
            </w:tcBorders>
            <w:shd w:val="clear" w:color="auto" w:fill="FFFFFF"/>
            <w:vAlign w:val="bottom"/>
          </w:tcPr>
          <w:p w14:paraId="239A0121" w14:textId="77777777" w:rsidR="00A031A6" w:rsidRDefault="00916FD0">
            <w:pPr>
              <w:jc w:val="right"/>
              <w:rPr>
                <w:color w:val="000000"/>
                <w:sz w:val="14"/>
                <w:szCs w:val="14"/>
              </w:rPr>
            </w:pPr>
            <w:r>
              <w:rPr>
                <w:color w:val="000000"/>
                <w:sz w:val="14"/>
                <w:szCs w:val="14"/>
              </w:rPr>
              <w:t>30,995,982</w:t>
            </w:r>
          </w:p>
        </w:tc>
        <w:tc>
          <w:tcPr>
            <w:tcW w:w="1510" w:type="dxa"/>
            <w:gridSpan w:val="2"/>
            <w:tcBorders>
              <w:top w:val="nil"/>
              <w:left w:val="nil"/>
              <w:bottom w:val="nil"/>
              <w:right w:val="nil"/>
            </w:tcBorders>
            <w:shd w:val="clear" w:color="auto" w:fill="FFFFFF"/>
            <w:vAlign w:val="bottom"/>
          </w:tcPr>
          <w:p w14:paraId="662A0B14" w14:textId="77777777" w:rsidR="00A031A6" w:rsidRDefault="00916FD0">
            <w:pPr>
              <w:jc w:val="right"/>
              <w:rPr>
                <w:color w:val="000000"/>
                <w:sz w:val="14"/>
                <w:szCs w:val="14"/>
              </w:rPr>
            </w:pPr>
            <w:r>
              <w:rPr>
                <w:color w:val="000000"/>
                <w:sz w:val="14"/>
                <w:szCs w:val="14"/>
              </w:rPr>
              <w:t>6,242,437</w:t>
            </w:r>
          </w:p>
        </w:tc>
        <w:tc>
          <w:tcPr>
            <w:tcW w:w="1254" w:type="dxa"/>
            <w:gridSpan w:val="2"/>
            <w:tcBorders>
              <w:top w:val="nil"/>
              <w:left w:val="nil"/>
              <w:bottom w:val="nil"/>
              <w:right w:val="nil"/>
            </w:tcBorders>
            <w:shd w:val="clear" w:color="auto" w:fill="FFFFFF"/>
            <w:vAlign w:val="bottom"/>
          </w:tcPr>
          <w:p w14:paraId="75F7FD87" w14:textId="77777777" w:rsidR="00A031A6" w:rsidRDefault="00916FD0">
            <w:pPr>
              <w:jc w:val="right"/>
              <w:rPr>
                <w:color w:val="000000"/>
                <w:sz w:val="14"/>
                <w:szCs w:val="14"/>
              </w:rPr>
            </w:pPr>
            <w:r>
              <w:rPr>
                <w:color w:val="000000"/>
                <w:sz w:val="14"/>
                <w:szCs w:val="14"/>
              </w:rPr>
              <w:t>8,395,666</w:t>
            </w:r>
          </w:p>
        </w:tc>
        <w:tc>
          <w:tcPr>
            <w:tcW w:w="995" w:type="dxa"/>
            <w:tcBorders>
              <w:top w:val="nil"/>
              <w:left w:val="nil"/>
              <w:bottom w:val="nil"/>
              <w:right w:val="nil"/>
            </w:tcBorders>
            <w:shd w:val="clear" w:color="auto" w:fill="FFFFFF"/>
            <w:vAlign w:val="bottom"/>
          </w:tcPr>
          <w:p w14:paraId="45C624EB" w14:textId="77777777" w:rsidR="00A031A6" w:rsidRDefault="00916FD0">
            <w:pPr>
              <w:jc w:val="right"/>
              <w:rPr>
                <w:color w:val="000000"/>
                <w:sz w:val="14"/>
                <w:szCs w:val="14"/>
              </w:rPr>
            </w:pPr>
            <w:r>
              <w:rPr>
                <w:color w:val="000000"/>
                <w:sz w:val="14"/>
                <w:szCs w:val="14"/>
              </w:rPr>
              <w:t>56,181,931</w:t>
            </w:r>
          </w:p>
        </w:tc>
        <w:tc>
          <w:tcPr>
            <w:tcW w:w="986" w:type="dxa"/>
            <w:gridSpan w:val="2"/>
            <w:tcBorders>
              <w:top w:val="nil"/>
              <w:left w:val="nil"/>
              <w:bottom w:val="nil"/>
              <w:right w:val="nil"/>
            </w:tcBorders>
            <w:shd w:val="clear" w:color="auto" w:fill="FFFFFF"/>
            <w:vAlign w:val="bottom"/>
          </w:tcPr>
          <w:p w14:paraId="5D833565" w14:textId="77777777" w:rsidR="00A031A6" w:rsidRDefault="00916FD0">
            <w:pPr>
              <w:jc w:val="right"/>
              <w:rPr>
                <w:color w:val="000000"/>
                <w:sz w:val="14"/>
                <w:szCs w:val="14"/>
              </w:rPr>
            </w:pPr>
            <w:r>
              <w:rPr>
                <w:color w:val="000000"/>
                <w:sz w:val="14"/>
                <w:szCs w:val="14"/>
              </w:rPr>
              <w:t>35%</w:t>
            </w:r>
          </w:p>
        </w:tc>
        <w:tc>
          <w:tcPr>
            <w:tcW w:w="1214" w:type="dxa"/>
            <w:gridSpan w:val="2"/>
            <w:tcBorders>
              <w:top w:val="nil"/>
              <w:left w:val="nil"/>
              <w:bottom w:val="nil"/>
              <w:right w:val="nil"/>
            </w:tcBorders>
            <w:shd w:val="clear" w:color="auto" w:fill="FFFFFF"/>
            <w:vAlign w:val="bottom"/>
          </w:tcPr>
          <w:p w14:paraId="0DA43E5C" w14:textId="77777777" w:rsidR="00A031A6" w:rsidRDefault="00916FD0">
            <w:pPr>
              <w:jc w:val="right"/>
              <w:rPr>
                <w:color w:val="000000"/>
                <w:sz w:val="14"/>
                <w:szCs w:val="14"/>
              </w:rPr>
            </w:pPr>
            <w:r>
              <w:rPr>
                <w:color w:val="000000"/>
                <w:sz w:val="14"/>
                <w:szCs w:val="14"/>
              </w:rPr>
              <w:t>106,556,980</w:t>
            </w:r>
          </w:p>
        </w:tc>
        <w:tc>
          <w:tcPr>
            <w:tcW w:w="1216" w:type="dxa"/>
            <w:gridSpan w:val="2"/>
            <w:tcBorders>
              <w:top w:val="nil"/>
              <w:left w:val="nil"/>
              <w:bottom w:val="nil"/>
              <w:right w:val="nil"/>
            </w:tcBorders>
            <w:shd w:val="clear" w:color="auto" w:fill="FFFFFF"/>
            <w:vAlign w:val="bottom"/>
          </w:tcPr>
          <w:p w14:paraId="70F8FAA7" w14:textId="77777777" w:rsidR="00A031A6" w:rsidRDefault="00916FD0">
            <w:pPr>
              <w:jc w:val="right"/>
              <w:rPr>
                <w:color w:val="000000"/>
                <w:sz w:val="14"/>
                <w:szCs w:val="14"/>
              </w:rPr>
            </w:pPr>
            <w:r>
              <w:rPr>
                <w:color w:val="000000"/>
                <w:sz w:val="14"/>
                <w:szCs w:val="14"/>
              </w:rPr>
              <w:t>65%</w:t>
            </w:r>
          </w:p>
        </w:tc>
        <w:tc>
          <w:tcPr>
            <w:tcW w:w="988" w:type="dxa"/>
            <w:gridSpan w:val="2"/>
            <w:tcBorders>
              <w:top w:val="nil"/>
              <w:left w:val="nil"/>
              <w:bottom w:val="nil"/>
              <w:right w:val="nil"/>
            </w:tcBorders>
            <w:shd w:val="clear" w:color="auto" w:fill="FFFFFF"/>
            <w:vAlign w:val="bottom"/>
          </w:tcPr>
          <w:p w14:paraId="1AB4D174" w14:textId="77777777" w:rsidR="00A031A6" w:rsidRDefault="00916FD0">
            <w:pPr>
              <w:jc w:val="right"/>
              <w:rPr>
                <w:color w:val="000000"/>
                <w:sz w:val="14"/>
                <w:szCs w:val="14"/>
              </w:rPr>
            </w:pPr>
            <w:r>
              <w:rPr>
                <w:color w:val="000000"/>
                <w:sz w:val="14"/>
                <w:szCs w:val="14"/>
              </w:rPr>
              <w:t>221%</w:t>
            </w:r>
          </w:p>
        </w:tc>
        <w:tc>
          <w:tcPr>
            <w:tcW w:w="1426" w:type="dxa"/>
            <w:gridSpan w:val="2"/>
            <w:tcBorders>
              <w:top w:val="nil"/>
              <w:left w:val="nil"/>
              <w:bottom w:val="nil"/>
              <w:right w:val="nil"/>
            </w:tcBorders>
            <w:shd w:val="clear" w:color="auto" w:fill="FFFFFF"/>
            <w:vAlign w:val="bottom"/>
          </w:tcPr>
          <w:p w14:paraId="25D4217D" w14:textId="77777777" w:rsidR="00A031A6" w:rsidRDefault="00916FD0">
            <w:pPr>
              <w:jc w:val="right"/>
              <w:rPr>
                <w:color w:val="000000"/>
                <w:sz w:val="14"/>
                <w:szCs w:val="14"/>
              </w:rPr>
            </w:pPr>
            <w:r>
              <w:rPr>
                <w:color w:val="000000"/>
                <w:sz w:val="14"/>
                <w:szCs w:val="14"/>
              </w:rPr>
              <w:t>88,209,419</w:t>
            </w:r>
          </w:p>
        </w:tc>
        <w:tc>
          <w:tcPr>
            <w:tcW w:w="1070" w:type="dxa"/>
            <w:tcBorders>
              <w:top w:val="nil"/>
              <w:left w:val="nil"/>
              <w:bottom w:val="nil"/>
              <w:right w:val="nil"/>
            </w:tcBorders>
            <w:shd w:val="clear" w:color="auto" w:fill="FFFFFF"/>
            <w:vAlign w:val="bottom"/>
          </w:tcPr>
          <w:p w14:paraId="561583C9" w14:textId="77777777" w:rsidR="00A031A6" w:rsidRDefault="00916FD0">
            <w:pPr>
              <w:jc w:val="right"/>
              <w:rPr>
                <w:color w:val="000000"/>
                <w:sz w:val="14"/>
                <w:szCs w:val="14"/>
              </w:rPr>
            </w:pPr>
            <w:r>
              <w:rPr>
                <w:color w:val="000000"/>
                <w:sz w:val="14"/>
                <w:szCs w:val="14"/>
              </w:rPr>
              <w:t>46%</w:t>
            </w:r>
          </w:p>
        </w:tc>
      </w:tr>
      <w:tr w:rsidR="00A031A6" w14:paraId="43EC652F" w14:textId="77777777">
        <w:trPr>
          <w:trHeight w:val="57"/>
        </w:trPr>
        <w:tc>
          <w:tcPr>
            <w:tcW w:w="1560" w:type="dxa"/>
            <w:gridSpan w:val="2"/>
            <w:tcBorders>
              <w:top w:val="nil"/>
              <w:left w:val="nil"/>
              <w:bottom w:val="nil"/>
              <w:right w:val="nil"/>
            </w:tcBorders>
            <w:shd w:val="clear" w:color="auto" w:fill="FFFFFF"/>
            <w:vAlign w:val="bottom"/>
          </w:tcPr>
          <w:p w14:paraId="1467CC3B" w14:textId="77777777"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14:paraId="6D129FB7" w14:textId="77777777" w:rsidR="00A031A6" w:rsidRDefault="00916FD0">
            <w:pPr>
              <w:jc w:val="right"/>
              <w:rPr>
                <w:color w:val="000000"/>
                <w:sz w:val="14"/>
                <w:szCs w:val="14"/>
              </w:rPr>
            </w:pPr>
            <w:r>
              <w:rPr>
                <w:color w:val="000000"/>
                <w:sz w:val="14"/>
                <w:szCs w:val="14"/>
              </w:rPr>
              <w:t>180,843,405</w:t>
            </w:r>
          </w:p>
        </w:tc>
        <w:tc>
          <w:tcPr>
            <w:tcW w:w="1043" w:type="dxa"/>
            <w:gridSpan w:val="2"/>
            <w:tcBorders>
              <w:top w:val="nil"/>
              <w:left w:val="nil"/>
              <w:bottom w:val="nil"/>
              <w:right w:val="nil"/>
            </w:tcBorders>
            <w:shd w:val="clear" w:color="auto" w:fill="FFFFFF"/>
            <w:vAlign w:val="bottom"/>
          </w:tcPr>
          <w:p w14:paraId="7E8616BA" w14:textId="77777777" w:rsidR="00A031A6" w:rsidRDefault="00916FD0">
            <w:pPr>
              <w:jc w:val="right"/>
              <w:rPr>
                <w:color w:val="000000"/>
                <w:sz w:val="14"/>
                <w:szCs w:val="14"/>
              </w:rPr>
            </w:pPr>
            <w:r>
              <w:rPr>
                <w:color w:val="000000"/>
                <w:sz w:val="14"/>
                <w:szCs w:val="14"/>
              </w:rPr>
              <w:t>162,738,911</w:t>
            </w:r>
          </w:p>
        </w:tc>
        <w:tc>
          <w:tcPr>
            <w:tcW w:w="967" w:type="dxa"/>
            <w:gridSpan w:val="2"/>
            <w:tcBorders>
              <w:top w:val="nil"/>
              <w:left w:val="nil"/>
              <w:bottom w:val="nil"/>
              <w:right w:val="nil"/>
            </w:tcBorders>
            <w:shd w:val="clear" w:color="auto" w:fill="FFFFFF"/>
            <w:vAlign w:val="bottom"/>
          </w:tcPr>
          <w:p w14:paraId="7922E975" w14:textId="77777777" w:rsidR="00A031A6" w:rsidRDefault="00916FD0">
            <w:pPr>
              <w:jc w:val="right"/>
              <w:rPr>
                <w:color w:val="000000"/>
                <w:sz w:val="14"/>
                <w:szCs w:val="14"/>
              </w:rPr>
            </w:pPr>
            <w:r>
              <w:rPr>
                <w:color w:val="000000"/>
                <w:sz w:val="14"/>
                <w:szCs w:val="14"/>
              </w:rPr>
              <w:t>34,378,385</w:t>
            </w:r>
          </w:p>
        </w:tc>
        <w:tc>
          <w:tcPr>
            <w:tcW w:w="1510" w:type="dxa"/>
            <w:gridSpan w:val="2"/>
            <w:tcBorders>
              <w:top w:val="nil"/>
              <w:left w:val="nil"/>
              <w:bottom w:val="nil"/>
              <w:right w:val="nil"/>
            </w:tcBorders>
            <w:shd w:val="clear" w:color="auto" w:fill="FFFFFF"/>
            <w:vAlign w:val="bottom"/>
          </w:tcPr>
          <w:p w14:paraId="4B633280" w14:textId="77777777" w:rsidR="00A031A6" w:rsidRDefault="00916FD0">
            <w:pPr>
              <w:jc w:val="right"/>
              <w:rPr>
                <w:color w:val="000000"/>
                <w:sz w:val="14"/>
                <w:szCs w:val="14"/>
              </w:rPr>
            </w:pPr>
            <w:r>
              <w:rPr>
                <w:color w:val="000000"/>
                <w:sz w:val="14"/>
                <w:szCs w:val="14"/>
              </w:rPr>
              <w:t>5,618,193</w:t>
            </w:r>
          </w:p>
        </w:tc>
        <w:tc>
          <w:tcPr>
            <w:tcW w:w="1254" w:type="dxa"/>
            <w:gridSpan w:val="2"/>
            <w:tcBorders>
              <w:top w:val="nil"/>
              <w:left w:val="nil"/>
              <w:bottom w:val="nil"/>
              <w:right w:val="nil"/>
            </w:tcBorders>
            <w:shd w:val="clear" w:color="auto" w:fill="FFFFFF"/>
            <w:vAlign w:val="bottom"/>
          </w:tcPr>
          <w:p w14:paraId="3795423A" w14:textId="77777777" w:rsidR="00A031A6" w:rsidRDefault="00916FD0">
            <w:pPr>
              <w:jc w:val="right"/>
              <w:rPr>
                <w:color w:val="000000"/>
                <w:sz w:val="14"/>
                <w:szCs w:val="14"/>
              </w:rPr>
            </w:pPr>
            <w:r>
              <w:rPr>
                <w:color w:val="000000"/>
                <w:sz w:val="14"/>
                <w:szCs w:val="14"/>
              </w:rPr>
              <w:t>10,655,698</w:t>
            </w:r>
          </w:p>
        </w:tc>
        <w:tc>
          <w:tcPr>
            <w:tcW w:w="995" w:type="dxa"/>
            <w:tcBorders>
              <w:top w:val="nil"/>
              <w:left w:val="nil"/>
              <w:bottom w:val="nil"/>
              <w:right w:val="nil"/>
            </w:tcBorders>
            <w:shd w:val="clear" w:color="auto" w:fill="FFFFFF"/>
            <w:vAlign w:val="bottom"/>
          </w:tcPr>
          <w:p w14:paraId="741A69DB" w14:textId="77777777" w:rsidR="00A031A6" w:rsidRDefault="00916FD0">
            <w:pPr>
              <w:jc w:val="right"/>
              <w:rPr>
                <w:color w:val="000000"/>
                <w:sz w:val="14"/>
                <w:szCs w:val="14"/>
              </w:rPr>
            </w:pPr>
            <w:r>
              <w:rPr>
                <w:color w:val="000000"/>
                <w:sz w:val="14"/>
                <w:szCs w:val="14"/>
              </w:rPr>
              <w:t>50,563,738</w:t>
            </w:r>
          </w:p>
        </w:tc>
        <w:tc>
          <w:tcPr>
            <w:tcW w:w="986" w:type="dxa"/>
            <w:gridSpan w:val="2"/>
            <w:tcBorders>
              <w:top w:val="nil"/>
              <w:left w:val="nil"/>
              <w:bottom w:val="nil"/>
              <w:right w:val="nil"/>
            </w:tcBorders>
            <w:shd w:val="clear" w:color="auto" w:fill="FFFFFF"/>
            <w:vAlign w:val="bottom"/>
          </w:tcPr>
          <w:p w14:paraId="345BFF01" w14:textId="77777777" w:rsidR="00A031A6" w:rsidRDefault="00916FD0">
            <w:pPr>
              <w:jc w:val="right"/>
              <w:rPr>
                <w:color w:val="000000"/>
                <w:sz w:val="14"/>
                <w:szCs w:val="14"/>
              </w:rPr>
            </w:pPr>
            <w:r>
              <w:rPr>
                <w:color w:val="000000"/>
                <w:sz w:val="14"/>
                <w:szCs w:val="14"/>
              </w:rPr>
              <w:t>28%</w:t>
            </w:r>
          </w:p>
        </w:tc>
        <w:tc>
          <w:tcPr>
            <w:tcW w:w="1214" w:type="dxa"/>
            <w:gridSpan w:val="2"/>
            <w:tcBorders>
              <w:top w:val="nil"/>
              <w:left w:val="nil"/>
              <w:bottom w:val="nil"/>
              <w:right w:val="nil"/>
            </w:tcBorders>
            <w:shd w:val="clear" w:color="auto" w:fill="FFFFFF"/>
            <w:vAlign w:val="bottom"/>
          </w:tcPr>
          <w:p w14:paraId="48529A5C" w14:textId="77777777" w:rsidR="00A031A6" w:rsidRDefault="00916FD0">
            <w:pPr>
              <w:jc w:val="right"/>
              <w:rPr>
                <w:color w:val="000000"/>
                <w:sz w:val="14"/>
                <w:szCs w:val="14"/>
              </w:rPr>
            </w:pPr>
            <w:r>
              <w:rPr>
                <w:color w:val="000000"/>
                <w:sz w:val="14"/>
                <w:szCs w:val="14"/>
              </w:rPr>
              <w:t>130,279,667</w:t>
            </w:r>
          </w:p>
        </w:tc>
        <w:tc>
          <w:tcPr>
            <w:tcW w:w="1216" w:type="dxa"/>
            <w:gridSpan w:val="2"/>
            <w:tcBorders>
              <w:top w:val="nil"/>
              <w:left w:val="nil"/>
              <w:bottom w:val="nil"/>
              <w:right w:val="nil"/>
            </w:tcBorders>
            <w:shd w:val="clear" w:color="auto" w:fill="FFFFFF"/>
            <w:vAlign w:val="bottom"/>
          </w:tcPr>
          <w:p w14:paraId="23F8A2D3" w14:textId="77777777" w:rsidR="00A031A6" w:rsidRDefault="00916FD0">
            <w:pPr>
              <w:jc w:val="right"/>
              <w:rPr>
                <w:color w:val="000000"/>
                <w:sz w:val="14"/>
                <w:szCs w:val="14"/>
              </w:rPr>
            </w:pPr>
            <w:r>
              <w:rPr>
                <w:color w:val="000000"/>
                <w:sz w:val="14"/>
                <w:szCs w:val="14"/>
              </w:rPr>
              <w:t>72%</w:t>
            </w:r>
          </w:p>
        </w:tc>
        <w:tc>
          <w:tcPr>
            <w:tcW w:w="988" w:type="dxa"/>
            <w:gridSpan w:val="2"/>
            <w:tcBorders>
              <w:top w:val="nil"/>
              <w:left w:val="nil"/>
              <w:bottom w:val="nil"/>
              <w:right w:val="nil"/>
            </w:tcBorders>
            <w:shd w:val="clear" w:color="auto" w:fill="FFFFFF"/>
            <w:vAlign w:val="bottom"/>
          </w:tcPr>
          <w:p w14:paraId="148B459B" w14:textId="77777777" w:rsidR="00A031A6" w:rsidRDefault="00916FD0">
            <w:pPr>
              <w:jc w:val="right"/>
              <w:rPr>
                <w:color w:val="000000"/>
                <w:sz w:val="14"/>
                <w:szCs w:val="14"/>
              </w:rPr>
            </w:pPr>
            <w:r>
              <w:rPr>
                <w:color w:val="000000"/>
                <w:sz w:val="14"/>
                <w:szCs w:val="14"/>
              </w:rPr>
              <w:t>244%</w:t>
            </w:r>
          </w:p>
        </w:tc>
        <w:tc>
          <w:tcPr>
            <w:tcW w:w="1426" w:type="dxa"/>
            <w:gridSpan w:val="2"/>
            <w:tcBorders>
              <w:top w:val="nil"/>
              <w:left w:val="nil"/>
              <w:bottom w:val="nil"/>
              <w:right w:val="nil"/>
            </w:tcBorders>
            <w:shd w:val="clear" w:color="auto" w:fill="FFFFFF"/>
            <w:vAlign w:val="bottom"/>
          </w:tcPr>
          <w:p w14:paraId="3DFA13B1" w14:textId="77777777" w:rsidR="00A031A6" w:rsidRDefault="00916FD0">
            <w:pPr>
              <w:jc w:val="right"/>
              <w:rPr>
                <w:color w:val="000000"/>
                <w:sz w:val="14"/>
                <w:szCs w:val="14"/>
              </w:rPr>
            </w:pPr>
            <w:r>
              <w:rPr>
                <w:color w:val="000000"/>
                <w:sz w:val="14"/>
                <w:szCs w:val="14"/>
              </w:rPr>
              <w:t>88,954,943</w:t>
            </w:r>
          </w:p>
        </w:tc>
        <w:tc>
          <w:tcPr>
            <w:tcW w:w="1070" w:type="dxa"/>
            <w:tcBorders>
              <w:top w:val="nil"/>
              <w:left w:val="nil"/>
              <w:bottom w:val="nil"/>
              <w:right w:val="nil"/>
            </w:tcBorders>
            <w:shd w:val="clear" w:color="auto" w:fill="FFFFFF"/>
            <w:vAlign w:val="bottom"/>
          </w:tcPr>
          <w:p w14:paraId="3DD2329C" w14:textId="77777777" w:rsidR="00A031A6" w:rsidRDefault="00916FD0">
            <w:pPr>
              <w:jc w:val="right"/>
              <w:rPr>
                <w:color w:val="000000"/>
                <w:sz w:val="14"/>
                <w:szCs w:val="14"/>
              </w:rPr>
            </w:pPr>
            <w:r>
              <w:rPr>
                <w:color w:val="000000"/>
                <w:sz w:val="14"/>
                <w:szCs w:val="14"/>
              </w:rPr>
              <w:t>51%</w:t>
            </w:r>
          </w:p>
        </w:tc>
      </w:tr>
      <w:tr w:rsidR="00A031A6" w14:paraId="5FF7A67F" w14:textId="77777777">
        <w:trPr>
          <w:trHeight w:val="57"/>
        </w:trPr>
        <w:tc>
          <w:tcPr>
            <w:tcW w:w="1560" w:type="dxa"/>
            <w:gridSpan w:val="2"/>
            <w:tcBorders>
              <w:top w:val="nil"/>
              <w:left w:val="nil"/>
              <w:bottom w:val="nil"/>
              <w:right w:val="nil"/>
            </w:tcBorders>
            <w:shd w:val="clear" w:color="auto" w:fill="FFFFFF"/>
            <w:vAlign w:val="bottom"/>
          </w:tcPr>
          <w:p w14:paraId="5EF2A619" w14:textId="77777777"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14:paraId="1DDAE7BF" w14:textId="77777777" w:rsidR="00A031A6" w:rsidRDefault="00916FD0">
            <w:pPr>
              <w:jc w:val="right"/>
              <w:rPr>
                <w:color w:val="000000"/>
                <w:sz w:val="14"/>
                <w:szCs w:val="14"/>
              </w:rPr>
            </w:pPr>
            <w:r>
              <w:rPr>
                <w:color w:val="000000"/>
                <w:sz w:val="14"/>
                <w:szCs w:val="14"/>
              </w:rPr>
              <w:t>200,888,954</w:t>
            </w:r>
          </w:p>
        </w:tc>
        <w:tc>
          <w:tcPr>
            <w:tcW w:w="1043" w:type="dxa"/>
            <w:gridSpan w:val="2"/>
            <w:tcBorders>
              <w:top w:val="nil"/>
              <w:left w:val="nil"/>
              <w:bottom w:val="nil"/>
              <w:right w:val="nil"/>
            </w:tcBorders>
            <w:shd w:val="clear" w:color="auto" w:fill="FFFFFF"/>
            <w:vAlign w:val="bottom"/>
          </w:tcPr>
          <w:p w14:paraId="71F95BFB" w14:textId="77777777" w:rsidR="00A031A6" w:rsidRDefault="00916FD0">
            <w:pPr>
              <w:jc w:val="right"/>
              <w:rPr>
                <w:color w:val="000000"/>
                <w:sz w:val="14"/>
                <w:szCs w:val="14"/>
              </w:rPr>
            </w:pPr>
            <w:r>
              <w:rPr>
                <w:color w:val="000000"/>
                <w:sz w:val="14"/>
                <w:szCs w:val="14"/>
              </w:rPr>
              <w:t>180,843,405</w:t>
            </w:r>
          </w:p>
        </w:tc>
        <w:tc>
          <w:tcPr>
            <w:tcW w:w="967" w:type="dxa"/>
            <w:gridSpan w:val="2"/>
            <w:tcBorders>
              <w:top w:val="nil"/>
              <w:left w:val="nil"/>
              <w:bottom w:val="nil"/>
              <w:right w:val="nil"/>
            </w:tcBorders>
            <w:shd w:val="clear" w:color="auto" w:fill="FFFFFF"/>
            <w:vAlign w:val="bottom"/>
          </w:tcPr>
          <w:p w14:paraId="064AA4F9" w14:textId="77777777" w:rsidR="00A031A6" w:rsidRDefault="00916FD0">
            <w:pPr>
              <w:jc w:val="right"/>
              <w:rPr>
                <w:color w:val="000000"/>
                <w:sz w:val="14"/>
                <w:szCs w:val="14"/>
              </w:rPr>
            </w:pPr>
            <w:r>
              <w:rPr>
                <w:color w:val="000000"/>
                <w:sz w:val="14"/>
                <w:szCs w:val="14"/>
              </w:rPr>
              <w:t>38,129,890</w:t>
            </w:r>
          </w:p>
        </w:tc>
        <w:tc>
          <w:tcPr>
            <w:tcW w:w="1510" w:type="dxa"/>
            <w:gridSpan w:val="2"/>
            <w:tcBorders>
              <w:top w:val="nil"/>
              <w:left w:val="nil"/>
              <w:bottom w:val="nil"/>
              <w:right w:val="nil"/>
            </w:tcBorders>
            <w:shd w:val="clear" w:color="auto" w:fill="FFFFFF"/>
            <w:vAlign w:val="bottom"/>
          </w:tcPr>
          <w:p w14:paraId="78A79070" w14:textId="77777777" w:rsidR="00A031A6" w:rsidRDefault="00916FD0">
            <w:pPr>
              <w:jc w:val="right"/>
              <w:rPr>
                <w:color w:val="000000"/>
                <w:sz w:val="14"/>
                <w:szCs w:val="14"/>
              </w:rPr>
            </w:pPr>
            <w:r>
              <w:rPr>
                <w:color w:val="000000"/>
                <w:sz w:val="14"/>
                <w:szCs w:val="14"/>
              </w:rPr>
              <w:t>5,056,374</w:t>
            </w:r>
          </w:p>
        </w:tc>
        <w:tc>
          <w:tcPr>
            <w:tcW w:w="1254" w:type="dxa"/>
            <w:gridSpan w:val="2"/>
            <w:tcBorders>
              <w:top w:val="nil"/>
              <w:left w:val="nil"/>
              <w:bottom w:val="nil"/>
              <w:right w:val="nil"/>
            </w:tcBorders>
            <w:shd w:val="clear" w:color="auto" w:fill="FFFFFF"/>
            <w:vAlign w:val="bottom"/>
          </w:tcPr>
          <w:p w14:paraId="4F5D0A6E" w14:textId="77777777" w:rsidR="00A031A6" w:rsidRDefault="00916FD0">
            <w:pPr>
              <w:jc w:val="right"/>
              <w:rPr>
                <w:color w:val="000000"/>
                <w:sz w:val="14"/>
                <w:szCs w:val="14"/>
              </w:rPr>
            </w:pPr>
            <w:r>
              <w:rPr>
                <w:color w:val="000000"/>
                <w:sz w:val="14"/>
                <w:szCs w:val="14"/>
              </w:rPr>
              <w:t>13,027,967</w:t>
            </w:r>
          </w:p>
        </w:tc>
        <w:tc>
          <w:tcPr>
            <w:tcW w:w="995" w:type="dxa"/>
            <w:tcBorders>
              <w:top w:val="nil"/>
              <w:left w:val="nil"/>
              <w:bottom w:val="nil"/>
              <w:right w:val="nil"/>
            </w:tcBorders>
            <w:shd w:val="clear" w:color="auto" w:fill="FFFFFF"/>
            <w:vAlign w:val="bottom"/>
          </w:tcPr>
          <w:p w14:paraId="3F65ED9C" w14:textId="77777777" w:rsidR="00A031A6" w:rsidRDefault="00916FD0">
            <w:pPr>
              <w:jc w:val="right"/>
              <w:rPr>
                <w:color w:val="000000"/>
                <w:sz w:val="14"/>
                <w:szCs w:val="14"/>
              </w:rPr>
            </w:pPr>
            <w:r>
              <w:rPr>
                <w:color w:val="000000"/>
                <w:sz w:val="14"/>
                <w:szCs w:val="14"/>
              </w:rPr>
              <w:t>45,507,364</w:t>
            </w:r>
          </w:p>
        </w:tc>
        <w:tc>
          <w:tcPr>
            <w:tcW w:w="986" w:type="dxa"/>
            <w:gridSpan w:val="2"/>
            <w:tcBorders>
              <w:top w:val="nil"/>
              <w:left w:val="nil"/>
              <w:bottom w:val="nil"/>
              <w:right w:val="nil"/>
            </w:tcBorders>
            <w:shd w:val="clear" w:color="auto" w:fill="FFFFFF"/>
            <w:vAlign w:val="bottom"/>
          </w:tcPr>
          <w:p w14:paraId="445956BC" w14:textId="77777777" w:rsidR="00A031A6" w:rsidRDefault="00916FD0">
            <w:pPr>
              <w:jc w:val="right"/>
              <w:rPr>
                <w:color w:val="000000"/>
                <w:sz w:val="14"/>
                <w:szCs w:val="14"/>
              </w:rPr>
            </w:pPr>
            <w:r>
              <w:rPr>
                <w:color w:val="000000"/>
                <w:sz w:val="14"/>
                <w:szCs w:val="14"/>
              </w:rPr>
              <w:t>23%</w:t>
            </w:r>
          </w:p>
        </w:tc>
        <w:tc>
          <w:tcPr>
            <w:tcW w:w="1214" w:type="dxa"/>
            <w:gridSpan w:val="2"/>
            <w:tcBorders>
              <w:top w:val="nil"/>
              <w:left w:val="nil"/>
              <w:bottom w:val="nil"/>
              <w:right w:val="nil"/>
            </w:tcBorders>
            <w:shd w:val="clear" w:color="auto" w:fill="FFFFFF"/>
            <w:vAlign w:val="bottom"/>
          </w:tcPr>
          <w:p w14:paraId="326134B4" w14:textId="77777777" w:rsidR="00A031A6" w:rsidRDefault="00916FD0">
            <w:pPr>
              <w:jc w:val="right"/>
              <w:rPr>
                <w:color w:val="000000"/>
                <w:sz w:val="14"/>
                <w:szCs w:val="14"/>
              </w:rPr>
            </w:pPr>
            <w:r>
              <w:rPr>
                <w:color w:val="000000"/>
                <w:sz w:val="14"/>
                <w:szCs w:val="14"/>
              </w:rPr>
              <w:t>155,381,590</w:t>
            </w:r>
          </w:p>
        </w:tc>
        <w:tc>
          <w:tcPr>
            <w:tcW w:w="1216" w:type="dxa"/>
            <w:gridSpan w:val="2"/>
            <w:tcBorders>
              <w:top w:val="nil"/>
              <w:left w:val="nil"/>
              <w:bottom w:val="nil"/>
              <w:right w:val="nil"/>
            </w:tcBorders>
            <w:shd w:val="clear" w:color="auto" w:fill="FFFFFF"/>
            <w:vAlign w:val="bottom"/>
          </w:tcPr>
          <w:p w14:paraId="562F9F07" w14:textId="77777777" w:rsidR="00A031A6" w:rsidRDefault="00916FD0">
            <w:pPr>
              <w:jc w:val="right"/>
              <w:rPr>
                <w:color w:val="000000"/>
                <w:sz w:val="14"/>
                <w:szCs w:val="14"/>
              </w:rPr>
            </w:pPr>
            <w:r>
              <w:rPr>
                <w:color w:val="000000"/>
                <w:sz w:val="14"/>
                <w:szCs w:val="14"/>
              </w:rPr>
              <w:t>77%</w:t>
            </w:r>
          </w:p>
        </w:tc>
        <w:tc>
          <w:tcPr>
            <w:tcW w:w="988" w:type="dxa"/>
            <w:gridSpan w:val="2"/>
            <w:tcBorders>
              <w:top w:val="nil"/>
              <w:left w:val="nil"/>
              <w:bottom w:val="nil"/>
              <w:right w:val="nil"/>
            </w:tcBorders>
            <w:shd w:val="clear" w:color="auto" w:fill="FFFFFF"/>
            <w:vAlign w:val="bottom"/>
          </w:tcPr>
          <w:p w14:paraId="7BF4ADE0" w14:textId="77777777" w:rsidR="00A031A6" w:rsidRDefault="00916FD0">
            <w:pPr>
              <w:jc w:val="right"/>
              <w:rPr>
                <w:color w:val="000000"/>
                <w:sz w:val="14"/>
                <w:szCs w:val="14"/>
              </w:rPr>
            </w:pPr>
            <w:r>
              <w:rPr>
                <w:color w:val="000000"/>
                <w:sz w:val="14"/>
                <w:szCs w:val="14"/>
              </w:rPr>
              <w:t>269%</w:t>
            </w:r>
          </w:p>
        </w:tc>
        <w:tc>
          <w:tcPr>
            <w:tcW w:w="1426" w:type="dxa"/>
            <w:gridSpan w:val="2"/>
            <w:tcBorders>
              <w:top w:val="nil"/>
              <w:left w:val="nil"/>
              <w:bottom w:val="nil"/>
              <w:right w:val="nil"/>
            </w:tcBorders>
            <w:shd w:val="clear" w:color="auto" w:fill="FFFFFF"/>
            <w:vAlign w:val="bottom"/>
          </w:tcPr>
          <w:p w14:paraId="74BF5E83" w14:textId="77777777" w:rsidR="00A031A6" w:rsidRDefault="00916FD0">
            <w:pPr>
              <w:jc w:val="right"/>
              <w:rPr>
                <w:color w:val="000000"/>
                <w:sz w:val="14"/>
                <w:szCs w:val="14"/>
              </w:rPr>
            </w:pPr>
            <w:r>
              <w:rPr>
                <w:color w:val="000000"/>
                <w:sz w:val="14"/>
                <w:szCs w:val="14"/>
              </w:rPr>
              <w:t>89,700,467</w:t>
            </w:r>
          </w:p>
        </w:tc>
        <w:tc>
          <w:tcPr>
            <w:tcW w:w="1070" w:type="dxa"/>
            <w:tcBorders>
              <w:top w:val="nil"/>
              <w:left w:val="nil"/>
              <w:bottom w:val="nil"/>
              <w:right w:val="nil"/>
            </w:tcBorders>
            <w:shd w:val="clear" w:color="auto" w:fill="FFFFFF"/>
            <w:vAlign w:val="bottom"/>
          </w:tcPr>
          <w:p w14:paraId="6C99B668" w14:textId="77777777" w:rsidR="00A031A6" w:rsidRDefault="00916FD0">
            <w:pPr>
              <w:jc w:val="right"/>
              <w:rPr>
                <w:color w:val="000000"/>
                <w:sz w:val="14"/>
                <w:szCs w:val="14"/>
              </w:rPr>
            </w:pPr>
            <w:r>
              <w:rPr>
                <w:color w:val="000000"/>
                <w:sz w:val="14"/>
                <w:szCs w:val="14"/>
              </w:rPr>
              <w:t>55%</w:t>
            </w:r>
          </w:p>
        </w:tc>
      </w:tr>
      <w:tr w:rsidR="00A031A6" w14:paraId="5F5F4440" w14:textId="77777777">
        <w:trPr>
          <w:trHeight w:val="57"/>
        </w:trPr>
        <w:tc>
          <w:tcPr>
            <w:tcW w:w="1560" w:type="dxa"/>
            <w:gridSpan w:val="2"/>
            <w:tcBorders>
              <w:top w:val="nil"/>
              <w:left w:val="nil"/>
              <w:bottom w:val="nil"/>
              <w:right w:val="nil"/>
            </w:tcBorders>
            <w:shd w:val="clear" w:color="auto" w:fill="FFFFFF"/>
            <w:vAlign w:val="bottom"/>
          </w:tcPr>
          <w:p w14:paraId="3ABB3393" w14:textId="77777777"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14:paraId="3AB65549" w14:textId="77777777" w:rsidR="00A031A6" w:rsidRDefault="00916FD0">
            <w:pPr>
              <w:jc w:val="right"/>
              <w:rPr>
                <w:color w:val="000000"/>
                <w:sz w:val="14"/>
                <w:szCs w:val="14"/>
              </w:rPr>
            </w:pPr>
            <w:r>
              <w:rPr>
                <w:color w:val="000000"/>
                <w:sz w:val="14"/>
                <w:szCs w:val="14"/>
              </w:rPr>
              <w:t>223,090,832</w:t>
            </w:r>
          </w:p>
        </w:tc>
        <w:tc>
          <w:tcPr>
            <w:tcW w:w="1043" w:type="dxa"/>
            <w:gridSpan w:val="2"/>
            <w:tcBorders>
              <w:top w:val="nil"/>
              <w:left w:val="nil"/>
              <w:bottom w:val="nil"/>
              <w:right w:val="nil"/>
            </w:tcBorders>
            <w:shd w:val="clear" w:color="auto" w:fill="FFFFFF"/>
            <w:vAlign w:val="bottom"/>
          </w:tcPr>
          <w:p w14:paraId="7FF2A4E9" w14:textId="77777777" w:rsidR="00A031A6" w:rsidRDefault="00916FD0">
            <w:pPr>
              <w:jc w:val="right"/>
              <w:rPr>
                <w:color w:val="000000"/>
                <w:sz w:val="14"/>
                <w:szCs w:val="14"/>
              </w:rPr>
            </w:pPr>
            <w:r>
              <w:rPr>
                <w:color w:val="000000"/>
                <w:sz w:val="14"/>
                <w:szCs w:val="14"/>
              </w:rPr>
              <w:t>200,888,954</w:t>
            </w:r>
          </w:p>
        </w:tc>
        <w:tc>
          <w:tcPr>
            <w:tcW w:w="967" w:type="dxa"/>
            <w:gridSpan w:val="2"/>
            <w:tcBorders>
              <w:top w:val="nil"/>
              <w:left w:val="nil"/>
              <w:bottom w:val="nil"/>
              <w:right w:val="nil"/>
            </w:tcBorders>
            <w:shd w:val="clear" w:color="auto" w:fill="FFFFFF"/>
            <w:vAlign w:val="bottom"/>
          </w:tcPr>
          <w:p w14:paraId="1AAD8538" w14:textId="77777777" w:rsidR="00A031A6" w:rsidRDefault="00916FD0">
            <w:pPr>
              <w:jc w:val="right"/>
              <w:rPr>
                <w:color w:val="000000"/>
                <w:sz w:val="14"/>
                <w:szCs w:val="14"/>
              </w:rPr>
            </w:pPr>
            <w:r>
              <w:rPr>
                <w:color w:val="000000"/>
                <w:sz w:val="14"/>
                <w:szCs w:val="14"/>
              </w:rPr>
              <w:t>42,290,773</w:t>
            </w:r>
          </w:p>
        </w:tc>
        <w:tc>
          <w:tcPr>
            <w:tcW w:w="1510" w:type="dxa"/>
            <w:gridSpan w:val="2"/>
            <w:tcBorders>
              <w:top w:val="nil"/>
              <w:left w:val="nil"/>
              <w:bottom w:val="nil"/>
              <w:right w:val="nil"/>
            </w:tcBorders>
            <w:shd w:val="clear" w:color="auto" w:fill="FFFFFF"/>
            <w:vAlign w:val="bottom"/>
          </w:tcPr>
          <w:p w14:paraId="0DDC7184" w14:textId="77777777" w:rsidR="00A031A6" w:rsidRDefault="00916FD0">
            <w:pPr>
              <w:jc w:val="right"/>
              <w:rPr>
                <w:color w:val="000000"/>
                <w:sz w:val="14"/>
                <w:szCs w:val="14"/>
              </w:rPr>
            </w:pPr>
            <w:r>
              <w:rPr>
                <w:color w:val="000000"/>
                <w:sz w:val="14"/>
                <w:szCs w:val="14"/>
              </w:rPr>
              <w:t>4,550,736</w:t>
            </w:r>
          </w:p>
        </w:tc>
        <w:tc>
          <w:tcPr>
            <w:tcW w:w="1254" w:type="dxa"/>
            <w:gridSpan w:val="2"/>
            <w:tcBorders>
              <w:top w:val="nil"/>
              <w:left w:val="nil"/>
              <w:bottom w:val="nil"/>
              <w:right w:val="nil"/>
            </w:tcBorders>
            <w:shd w:val="clear" w:color="auto" w:fill="FFFFFF"/>
            <w:vAlign w:val="bottom"/>
          </w:tcPr>
          <w:p w14:paraId="5CFB82F5" w14:textId="77777777" w:rsidR="00A031A6" w:rsidRDefault="00916FD0">
            <w:pPr>
              <w:jc w:val="right"/>
              <w:rPr>
                <w:color w:val="000000"/>
                <w:sz w:val="14"/>
                <w:szCs w:val="14"/>
              </w:rPr>
            </w:pPr>
            <w:r>
              <w:rPr>
                <w:color w:val="000000"/>
                <w:sz w:val="14"/>
                <w:szCs w:val="14"/>
              </w:rPr>
              <w:t>15,538,159</w:t>
            </w:r>
          </w:p>
        </w:tc>
        <w:tc>
          <w:tcPr>
            <w:tcW w:w="995" w:type="dxa"/>
            <w:tcBorders>
              <w:top w:val="nil"/>
              <w:left w:val="nil"/>
              <w:bottom w:val="nil"/>
              <w:right w:val="nil"/>
            </w:tcBorders>
            <w:shd w:val="clear" w:color="auto" w:fill="FFFFFF"/>
            <w:vAlign w:val="bottom"/>
          </w:tcPr>
          <w:p w14:paraId="37DBDF13" w14:textId="77777777" w:rsidR="00A031A6" w:rsidRDefault="00916FD0">
            <w:pPr>
              <w:jc w:val="right"/>
              <w:rPr>
                <w:color w:val="000000"/>
                <w:sz w:val="14"/>
                <w:szCs w:val="14"/>
              </w:rPr>
            </w:pPr>
            <w:r>
              <w:rPr>
                <w:color w:val="000000"/>
                <w:sz w:val="14"/>
                <w:szCs w:val="14"/>
              </w:rPr>
              <w:t>40,956,628</w:t>
            </w:r>
          </w:p>
        </w:tc>
        <w:tc>
          <w:tcPr>
            <w:tcW w:w="986" w:type="dxa"/>
            <w:gridSpan w:val="2"/>
            <w:tcBorders>
              <w:top w:val="nil"/>
              <w:left w:val="nil"/>
              <w:bottom w:val="nil"/>
              <w:right w:val="nil"/>
            </w:tcBorders>
            <w:shd w:val="clear" w:color="auto" w:fill="FFFFFF"/>
            <w:vAlign w:val="bottom"/>
          </w:tcPr>
          <w:p w14:paraId="0909AF3A" w14:textId="77777777" w:rsidR="00A031A6" w:rsidRDefault="00916FD0">
            <w:pPr>
              <w:jc w:val="right"/>
              <w:rPr>
                <w:color w:val="000000"/>
                <w:sz w:val="14"/>
                <w:szCs w:val="14"/>
              </w:rPr>
            </w:pPr>
            <w:r>
              <w:rPr>
                <w:color w:val="000000"/>
                <w:sz w:val="14"/>
                <w:szCs w:val="14"/>
              </w:rPr>
              <w:t>18%</w:t>
            </w:r>
          </w:p>
        </w:tc>
        <w:tc>
          <w:tcPr>
            <w:tcW w:w="1214" w:type="dxa"/>
            <w:gridSpan w:val="2"/>
            <w:tcBorders>
              <w:top w:val="nil"/>
              <w:left w:val="nil"/>
              <w:bottom w:val="nil"/>
              <w:right w:val="nil"/>
            </w:tcBorders>
            <w:shd w:val="clear" w:color="auto" w:fill="FFFFFF"/>
            <w:vAlign w:val="bottom"/>
          </w:tcPr>
          <w:p w14:paraId="5393F6F2" w14:textId="77777777" w:rsidR="00A031A6" w:rsidRDefault="00916FD0">
            <w:pPr>
              <w:jc w:val="right"/>
              <w:rPr>
                <w:color w:val="000000"/>
                <w:sz w:val="14"/>
                <w:szCs w:val="14"/>
              </w:rPr>
            </w:pPr>
            <w:r>
              <w:rPr>
                <w:color w:val="000000"/>
                <w:sz w:val="14"/>
                <w:szCs w:val="14"/>
              </w:rPr>
              <w:t>182,134,205</w:t>
            </w:r>
          </w:p>
        </w:tc>
        <w:tc>
          <w:tcPr>
            <w:tcW w:w="1216" w:type="dxa"/>
            <w:gridSpan w:val="2"/>
            <w:tcBorders>
              <w:top w:val="nil"/>
              <w:left w:val="nil"/>
              <w:bottom w:val="nil"/>
              <w:right w:val="nil"/>
            </w:tcBorders>
            <w:shd w:val="clear" w:color="auto" w:fill="FFFFFF"/>
            <w:vAlign w:val="bottom"/>
          </w:tcPr>
          <w:p w14:paraId="6E758890" w14:textId="77777777" w:rsidR="00A031A6" w:rsidRDefault="00916FD0">
            <w:pPr>
              <w:jc w:val="right"/>
              <w:rPr>
                <w:color w:val="000000"/>
                <w:sz w:val="14"/>
                <w:szCs w:val="14"/>
              </w:rPr>
            </w:pPr>
            <w:r>
              <w:rPr>
                <w:color w:val="000000"/>
                <w:sz w:val="14"/>
                <w:szCs w:val="14"/>
              </w:rPr>
              <w:t>82%</w:t>
            </w:r>
          </w:p>
        </w:tc>
        <w:tc>
          <w:tcPr>
            <w:tcW w:w="988" w:type="dxa"/>
            <w:gridSpan w:val="2"/>
            <w:tcBorders>
              <w:top w:val="nil"/>
              <w:left w:val="nil"/>
              <w:bottom w:val="nil"/>
              <w:right w:val="nil"/>
            </w:tcBorders>
            <w:shd w:val="clear" w:color="auto" w:fill="FFFFFF"/>
            <w:vAlign w:val="bottom"/>
          </w:tcPr>
          <w:p w14:paraId="2E04F6AC" w14:textId="77777777" w:rsidR="00A031A6" w:rsidRDefault="00916FD0">
            <w:pPr>
              <w:jc w:val="right"/>
              <w:rPr>
                <w:color w:val="000000"/>
                <w:sz w:val="14"/>
                <w:szCs w:val="14"/>
              </w:rPr>
            </w:pPr>
            <w:r>
              <w:rPr>
                <w:color w:val="000000"/>
                <w:sz w:val="14"/>
                <w:szCs w:val="14"/>
              </w:rPr>
              <w:t>296%</w:t>
            </w:r>
          </w:p>
        </w:tc>
        <w:tc>
          <w:tcPr>
            <w:tcW w:w="1426" w:type="dxa"/>
            <w:gridSpan w:val="2"/>
            <w:tcBorders>
              <w:top w:val="nil"/>
              <w:left w:val="nil"/>
              <w:bottom w:val="nil"/>
              <w:right w:val="nil"/>
            </w:tcBorders>
            <w:shd w:val="clear" w:color="auto" w:fill="FFFFFF"/>
            <w:vAlign w:val="bottom"/>
          </w:tcPr>
          <w:p w14:paraId="0F77EFCA" w14:textId="77777777" w:rsidR="00A031A6" w:rsidRDefault="00916FD0">
            <w:pPr>
              <w:jc w:val="right"/>
              <w:rPr>
                <w:color w:val="000000"/>
                <w:sz w:val="14"/>
                <w:szCs w:val="14"/>
              </w:rPr>
            </w:pPr>
            <w:r>
              <w:rPr>
                <w:color w:val="000000"/>
                <w:sz w:val="14"/>
                <w:szCs w:val="14"/>
              </w:rPr>
              <w:t>90,445,991</w:t>
            </w:r>
          </w:p>
        </w:tc>
        <w:tc>
          <w:tcPr>
            <w:tcW w:w="1070" w:type="dxa"/>
            <w:tcBorders>
              <w:top w:val="nil"/>
              <w:left w:val="nil"/>
              <w:bottom w:val="nil"/>
              <w:right w:val="nil"/>
            </w:tcBorders>
            <w:shd w:val="clear" w:color="auto" w:fill="FFFFFF"/>
            <w:vAlign w:val="bottom"/>
          </w:tcPr>
          <w:p w14:paraId="0736E0EB" w14:textId="77777777" w:rsidR="00A031A6" w:rsidRDefault="00916FD0">
            <w:pPr>
              <w:jc w:val="right"/>
              <w:rPr>
                <w:color w:val="000000"/>
                <w:sz w:val="14"/>
                <w:szCs w:val="14"/>
              </w:rPr>
            </w:pPr>
            <w:r>
              <w:rPr>
                <w:color w:val="000000"/>
                <w:sz w:val="14"/>
                <w:szCs w:val="14"/>
              </w:rPr>
              <w:t>59%</w:t>
            </w:r>
          </w:p>
        </w:tc>
      </w:tr>
      <w:tr w:rsidR="00A031A6" w14:paraId="0556CBF4" w14:textId="77777777">
        <w:trPr>
          <w:trHeight w:val="57"/>
        </w:trPr>
        <w:tc>
          <w:tcPr>
            <w:tcW w:w="1560" w:type="dxa"/>
            <w:gridSpan w:val="2"/>
            <w:tcBorders>
              <w:top w:val="nil"/>
              <w:left w:val="nil"/>
              <w:bottom w:val="nil"/>
              <w:right w:val="nil"/>
            </w:tcBorders>
            <w:shd w:val="clear" w:color="auto" w:fill="FFFFFF"/>
            <w:vAlign w:val="bottom"/>
          </w:tcPr>
          <w:p w14:paraId="64CA43E2" w14:textId="77777777"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14:paraId="3E9B1FE0" w14:textId="77777777" w:rsidR="00A031A6" w:rsidRDefault="00916FD0">
            <w:pPr>
              <w:jc w:val="right"/>
              <w:rPr>
                <w:color w:val="000000"/>
                <w:sz w:val="14"/>
                <w:szCs w:val="14"/>
              </w:rPr>
            </w:pPr>
            <w:r>
              <w:rPr>
                <w:color w:val="000000"/>
                <w:sz w:val="14"/>
                <w:szCs w:val="14"/>
              </w:rPr>
              <w:t>247,687,458</w:t>
            </w:r>
          </w:p>
        </w:tc>
        <w:tc>
          <w:tcPr>
            <w:tcW w:w="1043" w:type="dxa"/>
            <w:gridSpan w:val="2"/>
            <w:tcBorders>
              <w:top w:val="nil"/>
              <w:left w:val="nil"/>
              <w:bottom w:val="nil"/>
              <w:right w:val="nil"/>
            </w:tcBorders>
            <w:shd w:val="clear" w:color="auto" w:fill="FFFFFF"/>
            <w:vAlign w:val="bottom"/>
          </w:tcPr>
          <w:p w14:paraId="6022A7FE" w14:textId="77777777" w:rsidR="00A031A6" w:rsidRDefault="00916FD0">
            <w:pPr>
              <w:jc w:val="right"/>
              <w:rPr>
                <w:color w:val="000000"/>
                <w:sz w:val="14"/>
                <w:szCs w:val="14"/>
              </w:rPr>
            </w:pPr>
            <w:r>
              <w:rPr>
                <w:color w:val="000000"/>
                <w:sz w:val="14"/>
                <w:szCs w:val="14"/>
              </w:rPr>
              <w:t>223,090,832</w:t>
            </w:r>
          </w:p>
        </w:tc>
        <w:tc>
          <w:tcPr>
            <w:tcW w:w="967" w:type="dxa"/>
            <w:gridSpan w:val="2"/>
            <w:tcBorders>
              <w:top w:val="nil"/>
              <w:left w:val="nil"/>
              <w:bottom w:val="nil"/>
              <w:right w:val="nil"/>
            </w:tcBorders>
            <w:shd w:val="clear" w:color="auto" w:fill="FFFFFF"/>
            <w:vAlign w:val="bottom"/>
          </w:tcPr>
          <w:p w14:paraId="2C93B063" w14:textId="77777777" w:rsidR="00A031A6" w:rsidRDefault="00916FD0">
            <w:pPr>
              <w:jc w:val="right"/>
              <w:rPr>
                <w:color w:val="000000"/>
                <w:sz w:val="14"/>
                <w:szCs w:val="14"/>
              </w:rPr>
            </w:pPr>
            <w:r>
              <w:rPr>
                <w:color w:val="000000"/>
                <w:sz w:val="14"/>
                <w:szCs w:val="14"/>
              </w:rPr>
              <w:t>46,905,709</w:t>
            </w:r>
          </w:p>
        </w:tc>
        <w:tc>
          <w:tcPr>
            <w:tcW w:w="1510" w:type="dxa"/>
            <w:gridSpan w:val="2"/>
            <w:tcBorders>
              <w:top w:val="nil"/>
              <w:left w:val="nil"/>
              <w:bottom w:val="nil"/>
              <w:right w:val="nil"/>
            </w:tcBorders>
            <w:shd w:val="clear" w:color="auto" w:fill="FFFFFF"/>
            <w:vAlign w:val="bottom"/>
          </w:tcPr>
          <w:p w14:paraId="38E29C22" w14:textId="77777777" w:rsidR="00A031A6" w:rsidRDefault="00916FD0">
            <w:pPr>
              <w:jc w:val="right"/>
              <w:rPr>
                <w:color w:val="000000"/>
                <w:sz w:val="14"/>
                <w:szCs w:val="14"/>
              </w:rPr>
            </w:pPr>
            <w:r>
              <w:rPr>
                <w:color w:val="000000"/>
                <w:sz w:val="14"/>
                <w:szCs w:val="14"/>
              </w:rPr>
              <w:t>4,095,663</w:t>
            </w:r>
          </w:p>
        </w:tc>
        <w:tc>
          <w:tcPr>
            <w:tcW w:w="1254" w:type="dxa"/>
            <w:gridSpan w:val="2"/>
            <w:tcBorders>
              <w:top w:val="nil"/>
              <w:left w:val="nil"/>
              <w:bottom w:val="nil"/>
              <w:right w:val="nil"/>
            </w:tcBorders>
            <w:shd w:val="clear" w:color="auto" w:fill="FFFFFF"/>
            <w:vAlign w:val="bottom"/>
          </w:tcPr>
          <w:p w14:paraId="688C99D8" w14:textId="77777777" w:rsidR="00A031A6" w:rsidRDefault="00916FD0">
            <w:pPr>
              <w:jc w:val="right"/>
              <w:rPr>
                <w:color w:val="000000"/>
                <w:sz w:val="14"/>
                <w:szCs w:val="14"/>
              </w:rPr>
            </w:pPr>
            <w:r>
              <w:rPr>
                <w:color w:val="000000"/>
                <w:sz w:val="14"/>
                <w:szCs w:val="14"/>
              </w:rPr>
              <w:t>18,213,420</w:t>
            </w:r>
          </w:p>
        </w:tc>
        <w:tc>
          <w:tcPr>
            <w:tcW w:w="995" w:type="dxa"/>
            <w:tcBorders>
              <w:top w:val="nil"/>
              <w:left w:val="nil"/>
              <w:bottom w:val="nil"/>
              <w:right w:val="nil"/>
            </w:tcBorders>
            <w:shd w:val="clear" w:color="auto" w:fill="FFFFFF"/>
            <w:vAlign w:val="bottom"/>
          </w:tcPr>
          <w:p w14:paraId="74F6D6F8" w14:textId="77777777" w:rsidR="00A031A6" w:rsidRDefault="00916FD0">
            <w:pPr>
              <w:jc w:val="right"/>
              <w:rPr>
                <w:color w:val="000000"/>
                <w:sz w:val="14"/>
                <w:szCs w:val="14"/>
              </w:rPr>
            </w:pPr>
            <w:r>
              <w:rPr>
                <w:color w:val="000000"/>
                <w:sz w:val="14"/>
                <w:szCs w:val="14"/>
              </w:rPr>
              <w:t>36,860,965</w:t>
            </w:r>
          </w:p>
        </w:tc>
        <w:tc>
          <w:tcPr>
            <w:tcW w:w="986" w:type="dxa"/>
            <w:gridSpan w:val="2"/>
            <w:tcBorders>
              <w:top w:val="nil"/>
              <w:left w:val="nil"/>
              <w:bottom w:val="nil"/>
              <w:right w:val="nil"/>
            </w:tcBorders>
            <w:shd w:val="clear" w:color="auto" w:fill="FFFFFF"/>
            <w:vAlign w:val="bottom"/>
          </w:tcPr>
          <w:p w14:paraId="3CA1F0B0" w14:textId="77777777" w:rsidR="00A031A6" w:rsidRDefault="00916FD0">
            <w:pPr>
              <w:jc w:val="right"/>
              <w:rPr>
                <w:color w:val="000000"/>
                <w:sz w:val="14"/>
                <w:szCs w:val="14"/>
              </w:rPr>
            </w:pPr>
            <w:r>
              <w:rPr>
                <w:color w:val="000000"/>
                <w:sz w:val="14"/>
                <w:szCs w:val="14"/>
              </w:rPr>
              <w:t>15%</w:t>
            </w:r>
          </w:p>
        </w:tc>
        <w:tc>
          <w:tcPr>
            <w:tcW w:w="1214" w:type="dxa"/>
            <w:gridSpan w:val="2"/>
            <w:tcBorders>
              <w:top w:val="nil"/>
              <w:left w:val="nil"/>
              <w:bottom w:val="nil"/>
              <w:right w:val="nil"/>
            </w:tcBorders>
            <w:shd w:val="clear" w:color="auto" w:fill="FFFFFF"/>
            <w:vAlign w:val="bottom"/>
          </w:tcPr>
          <w:p w14:paraId="2B9B6EE0" w14:textId="77777777" w:rsidR="00A031A6" w:rsidRDefault="00916FD0">
            <w:pPr>
              <w:jc w:val="right"/>
              <w:rPr>
                <w:color w:val="000000"/>
                <w:sz w:val="14"/>
                <w:szCs w:val="14"/>
              </w:rPr>
            </w:pPr>
            <w:r>
              <w:rPr>
                <w:color w:val="000000"/>
                <w:sz w:val="14"/>
                <w:szCs w:val="14"/>
              </w:rPr>
              <w:t>210,826,493</w:t>
            </w:r>
          </w:p>
        </w:tc>
        <w:tc>
          <w:tcPr>
            <w:tcW w:w="1216" w:type="dxa"/>
            <w:gridSpan w:val="2"/>
            <w:tcBorders>
              <w:top w:val="nil"/>
              <w:left w:val="nil"/>
              <w:bottom w:val="nil"/>
              <w:right w:val="nil"/>
            </w:tcBorders>
            <w:shd w:val="clear" w:color="auto" w:fill="FFFFFF"/>
            <w:vAlign w:val="bottom"/>
          </w:tcPr>
          <w:p w14:paraId="04F9402D" w14:textId="77777777" w:rsidR="00A031A6" w:rsidRDefault="00916FD0">
            <w:pPr>
              <w:jc w:val="right"/>
              <w:rPr>
                <w:color w:val="000000"/>
                <w:sz w:val="14"/>
                <w:szCs w:val="14"/>
              </w:rPr>
            </w:pPr>
            <w:r>
              <w:rPr>
                <w:color w:val="000000"/>
                <w:sz w:val="14"/>
                <w:szCs w:val="14"/>
              </w:rPr>
              <w:t>85%</w:t>
            </w:r>
          </w:p>
        </w:tc>
        <w:tc>
          <w:tcPr>
            <w:tcW w:w="988" w:type="dxa"/>
            <w:gridSpan w:val="2"/>
            <w:tcBorders>
              <w:top w:val="nil"/>
              <w:left w:val="nil"/>
              <w:bottom w:val="nil"/>
              <w:right w:val="nil"/>
            </w:tcBorders>
            <w:shd w:val="clear" w:color="auto" w:fill="FFFFFF"/>
            <w:vAlign w:val="bottom"/>
          </w:tcPr>
          <w:p w14:paraId="691FA5AF" w14:textId="77777777" w:rsidR="00A031A6" w:rsidRDefault="00916FD0">
            <w:pPr>
              <w:jc w:val="right"/>
              <w:rPr>
                <w:color w:val="000000"/>
                <w:sz w:val="14"/>
                <w:szCs w:val="14"/>
              </w:rPr>
            </w:pPr>
            <w:r>
              <w:rPr>
                <w:color w:val="000000"/>
                <w:sz w:val="14"/>
                <w:szCs w:val="14"/>
              </w:rPr>
              <w:t>326%</w:t>
            </w:r>
          </w:p>
        </w:tc>
        <w:tc>
          <w:tcPr>
            <w:tcW w:w="1426" w:type="dxa"/>
            <w:gridSpan w:val="2"/>
            <w:tcBorders>
              <w:top w:val="nil"/>
              <w:left w:val="nil"/>
              <w:bottom w:val="nil"/>
              <w:right w:val="nil"/>
            </w:tcBorders>
            <w:shd w:val="clear" w:color="auto" w:fill="FFFFFF"/>
            <w:vAlign w:val="bottom"/>
          </w:tcPr>
          <w:p w14:paraId="7E241246" w14:textId="77777777" w:rsidR="00A031A6" w:rsidRDefault="00916FD0">
            <w:pPr>
              <w:jc w:val="right"/>
              <w:rPr>
                <w:color w:val="000000"/>
                <w:sz w:val="14"/>
                <w:szCs w:val="14"/>
              </w:rPr>
            </w:pPr>
            <w:r>
              <w:rPr>
                <w:color w:val="000000"/>
                <w:sz w:val="14"/>
                <w:szCs w:val="14"/>
              </w:rPr>
              <w:t>91,191,515</w:t>
            </w:r>
          </w:p>
        </w:tc>
        <w:tc>
          <w:tcPr>
            <w:tcW w:w="1070" w:type="dxa"/>
            <w:tcBorders>
              <w:top w:val="nil"/>
              <w:left w:val="nil"/>
              <w:bottom w:val="nil"/>
              <w:right w:val="nil"/>
            </w:tcBorders>
            <w:shd w:val="clear" w:color="auto" w:fill="FFFFFF"/>
            <w:vAlign w:val="bottom"/>
          </w:tcPr>
          <w:p w14:paraId="48DDF041" w14:textId="77777777" w:rsidR="00A031A6" w:rsidRDefault="00916FD0">
            <w:pPr>
              <w:jc w:val="right"/>
              <w:rPr>
                <w:color w:val="000000"/>
                <w:sz w:val="14"/>
                <w:szCs w:val="14"/>
              </w:rPr>
            </w:pPr>
            <w:r>
              <w:rPr>
                <w:color w:val="000000"/>
                <w:sz w:val="14"/>
                <w:szCs w:val="14"/>
              </w:rPr>
              <w:t>63%</w:t>
            </w:r>
          </w:p>
        </w:tc>
      </w:tr>
      <w:tr w:rsidR="00A031A6" w14:paraId="39801D6C" w14:textId="77777777">
        <w:trPr>
          <w:trHeight w:val="57"/>
        </w:trPr>
        <w:tc>
          <w:tcPr>
            <w:tcW w:w="1560" w:type="dxa"/>
            <w:gridSpan w:val="2"/>
            <w:tcBorders>
              <w:top w:val="nil"/>
              <w:left w:val="nil"/>
              <w:bottom w:val="nil"/>
              <w:right w:val="nil"/>
            </w:tcBorders>
            <w:vAlign w:val="bottom"/>
          </w:tcPr>
          <w:p w14:paraId="6DDAF70D" w14:textId="77777777"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14:paraId="04449C65" w14:textId="77777777"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14:paraId="57308D1B"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14:paraId="7CA22A68"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14:paraId="7441E3AB" w14:textId="77777777"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14:paraId="1EC81C1F" w14:textId="77777777"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14:paraId="7DEB949E" w14:textId="77777777"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14:paraId="51B17CEA" w14:textId="77777777"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14:paraId="2111FF3E" w14:textId="77777777"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14:paraId="4A79A605" w14:textId="77777777"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14:paraId="37E2E602" w14:textId="77777777"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14:paraId="169EAC8D" w14:textId="77777777"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14:paraId="604E5E2F" w14:textId="77777777" w:rsidR="00A031A6" w:rsidRDefault="00A031A6">
            <w:pPr>
              <w:jc w:val="right"/>
              <w:rPr>
                <w:color w:val="000000"/>
                <w:sz w:val="14"/>
                <w:szCs w:val="14"/>
              </w:rPr>
            </w:pPr>
          </w:p>
        </w:tc>
      </w:tr>
      <w:tr w:rsidR="00A031A6" w14:paraId="544079AF" w14:textId="77777777">
        <w:trPr>
          <w:trHeight w:val="57"/>
        </w:trPr>
        <w:tc>
          <w:tcPr>
            <w:tcW w:w="1560" w:type="dxa"/>
            <w:gridSpan w:val="2"/>
            <w:tcBorders>
              <w:top w:val="nil"/>
              <w:left w:val="nil"/>
              <w:bottom w:val="nil"/>
              <w:right w:val="nil"/>
            </w:tcBorders>
            <w:shd w:val="clear" w:color="auto" w:fill="808080"/>
            <w:vAlign w:val="bottom"/>
          </w:tcPr>
          <w:p w14:paraId="02F584BD" w14:textId="77777777" w:rsidR="00A031A6" w:rsidRDefault="00916FD0">
            <w:pPr>
              <w:rPr>
                <w:b/>
                <w:color w:val="FFFFFF"/>
                <w:sz w:val="14"/>
                <w:szCs w:val="14"/>
              </w:rPr>
            </w:pPr>
            <w:r>
              <w:rPr>
                <w:b/>
                <w:color w:val="FFFFFF"/>
                <w:sz w:val="14"/>
                <w:szCs w:val="14"/>
              </w:rPr>
              <w:t>Fans</w:t>
            </w:r>
          </w:p>
        </w:tc>
        <w:tc>
          <w:tcPr>
            <w:tcW w:w="1169" w:type="dxa"/>
            <w:tcBorders>
              <w:top w:val="nil"/>
              <w:left w:val="nil"/>
              <w:bottom w:val="nil"/>
              <w:right w:val="nil"/>
            </w:tcBorders>
            <w:shd w:val="clear" w:color="auto" w:fill="808080"/>
            <w:vAlign w:val="bottom"/>
          </w:tcPr>
          <w:p w14:paraId="1FF20B99" w14:textId="77777777"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14:paraId="23B3A442" w14:textId="77777777"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14:paraId="3DB140E2"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5412EDD3" w14:textId="77777777"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14:paraId="753A9BAE" w14:textId="77777777"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14:paraId="64734EDB" w14:textId="77777777" w:rsidR="00A031A6" w:rsidRDefault="00916FD0">
            <w:pPr>
              <w:rPr>
                <w:b/>
                <w:color w:val="FFFFFF"/>
                <w:sz w:val="14"/>
                <w:szCs w:val="14"/>
              </w:rPr>
            </w:pPr>
            <w:r>
              <w:rPr>
                <w:b/>
                <w:color w:val="FFFFFF"/>
                <w:sz w:val="14"/>
                <w:szCs w:val="14"/>
              </w:rPr>
              <w:t>Existing</w:t>
            </w:r>
          </w:p>
        </w:tc>
        <w:tc>
          <w:tcPr>
            <w:tcW w:w="986" w:type="dxa"/>
            <w:gridSpan w:val="2"/>
            <w:tcBorders>
              <w:top w:val="nil"/>
              <w:left w:val="nil"/>
              <w:bottom w:val="nil"/>
              <w:right w:val="nil"/>
            </w:tcBorders>
            <w:shd w:val="clear" w:color="auto" w:fill="808080"/>
            <w:vAlign w:val="bottom"/>
          </w:tcPr>
          <w:p w14:paraId="36A51016" w14:textId="77777777"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14:paraId="7566DE60" w14:textId="77777777"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14:paraId="066E0689" w14:textId="77777777"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14:paraId="45FD5A69" w14:textId="77777777"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14:paraId="2382412B" w14:textId="77777777"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14:paraId="570ACBFC" w14:textId="77777777" w:rsidR="00A031A6" w:rsidRDefault="00916FD0">
            <w:pPr>
              <w:rPr>
                <w:b/>
                <w:color w:val="FFFFFF"/>
                <w:sz w:val="14"/>
                <w:szCs w:val="14"/>
              </w:rPr>
            </w:pPr>
            <w:r>
              <w:rPr>
                <w:b/>
                <w:color w:val="FFFFFF"/>
                <w:sz w:val="14"/>
                <w:szCs w:val="14"/>
              </w:rPr>
              <w:t>Replacement</w:t>
            </w:r>
          </w:p>
        </w:tc>
      </w:tr>
      <w:tr w:rsidR="00A031A6" w14:paraId="258D00F3" w14:textId="77777777">
        <w:trPr>
          <w:trHeight w:val="57"/>
        </w:trPr>
        <w:tc>
          <w:tcPr>
            <w:tcW w:w="1560" w:type="dxa"/>
            <w:gridSpan w:val="2"/>
            <w:tcBorders>
              <w:top w:val="nil"/>
              <w:left w:val="nil"/>
              <w:bottom w:val="nil"/>
              <w:right w:val="nil"/>
            </w:tcBorders>
            <w:shd w:val="clear" w:color="auto" w:fill="FFFFFF"/>
            <w:vAlign w:val="bottom"/>
          </w:tcPr>
          <w:p w14:paraId="48890112" w14:textId="77777777"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14:paraId="4AFAE8DA" w14:textId="77777777" w:rsidR="00A031A6" w:rsidRDefault="00916FD0">
            <w:pPr>
              <w:jc w:val="right"/>
              <w:rPr>
                <w:color w:val="000000"/>
                <w:sz w:val="14"/>
                <w:szCs w:val="14"/>
              </w:rPr>
            </w:pPr>
            <w:r>
              <w:rPr>
                <w:color w:val="000000"/>
                <w:sz w:val="14"/>
                <w:szCs w:val="14"/>
              </w:rPr>
              <w:t>65,227,270</w:t>
            </w:r>
          </w:p>
        </w:tc>
        <w:tc>
          <w:tcPr>
            <w:tcW w:w="1043" w:type="dxa"/>
            <w:gridSpan w:val="2"/>
            <w:tcBorders>
              <w:top w:val="nil"/>
              <w:left w:val="nil"/>
              <w:bottom w:val="nil"/>
              <w:right w:val="nil"/>
            </w:tcBorders>
            <w:shd w:val="clear" w:color="auto" w:fill="FFFFFF"/>
            <w:vAlign w:val="bottom"/>
          </w:tcPr>
          <w:p w14:paraId="16C3E0D1"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14:paraId="739481CC"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23446114" w14:textId="77777777"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14:paraId="114CFA62"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512E4B55" w14:textId="77777777" w:rsidR="00A031A6" w:rsidRDefault="00916FD0">
            <w:pPr>
              <w:jc w:val="right"/>
              <w:rPr>
                <w:color w:val="000000"/>
                <w:sz w:val="14"/>
                <w:szCs w:val="14"/>
              </w:rPr>
            </w:pPr>
            <w:r>
              <w:rPr>
                <w:color w:val="000000"/>
                <w:sz w:val="14"/>
                <w:szCs w:val="14"/>
              </w:rPr>
              <w:t>65,227,270</w:t>
            </w:r>
          </w:p>
        </w:tc>
        <w:tc>
          <w:tcPr>
            <w:tcW w:w="986" w:type="dxa"/>
            <w:gridSpan w:val="2"/>
            <w:tcBorders>
              <w:top w:val="nil"/>
              <w:left w:val="nil"/>
              <w:bottom w:val="nil"/>
              <w:right w:val="nil"/>
            </w:tcBorders>
            <w:shd w:val="clear" w:color="auto" w:fill="FFFFFF"/>
            <w:vAlign w:val="bottom"/>
          </w:tcPr>
          <w:p w14:paraId="780CCB86"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1DE8D71B"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0890F15E"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3B884C5C" w14:textId="77777777" w:rsidR="00A031A6" w:rsidRDefault="00916FD0">
            <w:pPr>
              <w:jc w:val="right"/>
              <w:rPr>
                <w:color w:val="000000"/>
                <w:sz w:val="14"/>
                <w:szCs w:val="14"/>
              </w:rPr>
            </w:pPr>
            <w:r>
              <w:rPr>
                <w:color w:val="000000"/>
                <w:sz w:val="14"/>
                <w:szCs w:val="14"/>
              </w:rPr>
              <w:t>96%</w:t>
            </w:r>
          </w:p>
        </w:tc>
        <w:tc>
          <w:tcPr>
            <w:tcW w:w="1426" w:type="dxa"/>
            <w:gridSpan w:val="2"/>
            <w:tcBorders>
              <w:top w:val="nil"/>
              <w:left w:val="nil"/>
              <w:bottom w:val="nil"/>
              <w:right w:val="nil"/>
            </w:tcBorders>
            <w:shd w:val="clear" w:color="auto" w:fill="FFFFFF"/>
            <w:vAlign w:val="bottom"/>
          </w:tcPr>
          <w:p w14:paraId="76E63B83" w14:textId="77777777" w:rsidR="00A031A6" w:rsidRDefault="00916FD0">
            <w:pPr>
              <w:jc w:val="right"/>
              <w:rPr>
                <w:color w:val="000000"/>
                <w:sz w:val="14"/>
                <w:szCs w:val="14"/>
              </w:rPr>
            </w:pPr>
            <w:r>
              <w:rPr>
                <w:color w:val="000000"/>
                <w:sz w:val="14"/>
                <w:szCs w:val="14"/>
              </w:rPr>
              <w:t>65,227,270</w:t>
            </w:r>
          </w:p>
        </w:tc>
        <w:tc>
          <w:tcPr>
            <w:tcW w:w="1070" w:type="dxa"/>
            <w:tcBorders>
              <w:top w:val="nil"/>
              <w:left w:val="nil"/>
              <w:bottom w:val="nil"/>
              <w:right w:val="nil"/>
            </w:tcBorders>
            <w:shd w:val="clear" w:color="auto" w:fill="FFFFFF"/>
            <w:vAlign w:val="bottom"/>
          </w:tcPr>
          <w:p w14:paraId="7986057A" w14:textId="77777777" w:rsidR="00A031A6" w:rsidRDefault="00916FD0">
            <w:pPr>
              <w:jc w:val="right"/>
              <w:rPr>
                <w:color w:val="000000"/>
                <w:sz w:val="14"/>
                <w:szCs w:val="14"/>
              </w:rPr>
            </w:pPr>
            <w:r>
              <w:rPr>
                <w:color w:val="000000"/>
                <w:sz w:val="14"/>
                <w:szCs w:val="14"/>
              </w:rPr>
              <w:t>0%</w:t>
            </w:r>
          </w:p>
        </w:tc>
      </w:tr>
      <w:tr w:rsidR="00A031A6" w14:paraId="0F82C6F5" w14:textId="77777777">
        <w:trPr>
          <w:trHeight w:val="57"/>
        </w:trPr>
        <w:tc>
          <w:tcPr>
            <w:tcW w:w="1560" w:type="dxa"/>
            <w:gridSpan w:val="2"/>
            <w:tcBorders>
              <w:top w:val="nil"/>
              <w:left w:val="nil"/>
              <w:bottom w:val="nil"/>
              <w:right w:val="nil"/>
            </w:tcBorders>
            <w:shd w:val="clear" w:color="auto" w:fill="FFFFFF"/>
            <w:vAlign w:val="bottom"/>
          </w:tcPr>
          <w:p w14:paraId="2D6A25D9" w14:textId="77777777"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14:paraId="5C3AB8D1" w14:textId="77777777" w:rsidR="00A031A6" w:rsidRDefault="00916FD0">
            <w:pPr>
              <w:jc w:val="right"/>
              <w:rPr>
                <w:color w:val="000000"/>
                <w:sz w:val="14"/>
                <w:szCs w:val="14"/>
              </w:rPr>
            </w:pPr>
            <w:r>
              <w:rPr>
                <w:color w:val="000000"/>
                <w:sz w:val="14"/>
                <w:szCs w:val="14"/>
              </w:rPr>
              <w:t>65,453,345</w:t>
            </w:r>
          </w:p>
        </w:tc>
        <w:tc>
          <w:tcPr>
            <w:tcW w:w="1043" w:type="dxa"/>
            <w:gridSpan w:val="2"/>
            <w:tcBorders>
              <w:top w:val="nil"/>
              <w:left w:val="nil"/>
              <w:bottom w:val="nil"/>
              <w:right w:val="nil"/>
            </w:tcBorders>
            <w:shd w:val="clear" w:color="auto" w:fill="FFFFFF"/>
            <w:vAlign w:val="bottom"/>
          </w:tcPr>
          <w:p w14:paraId="53D1129A" w14:textId="77777777" w:rsidR="00A031A6" w:rsidRDefault="00916FD0">
            <w:pPr>
              <w:jc w:val="right"/>
              <w:rPr>
                <w:color w:val="000000"/>
                <w:sz w:val="14"/>
                <w:szCs w:val="14"/>
              </w:rPr>
            </w:pPr>
            <w:r>
              <w:rPr>
                <w:color w:val="000000"/>
                <w:sz w:val="14"/>
                <w:szCs w:val="14"/>
              </w:rPr>
              <w:t>65,227,270</w:t>
            </w:r>
          </w:p>
        </w:tc>
        <w:tc>
          <w:tcPr>
            <w:tcW w:w="967" w:type="dxa"/>
            <w:gridSpan w:val="2"/>
            <w:tcBorders>
              <w:top w:val="nil"/>
              <w:left w:val="nil"/>
              <w:bottom w:val="nil"/>
              <w:right w:val="nil"/>
            </w:tcBorders>
            <w:shd w:val="clear" w:color="auto" w:fill="FFFFFF"/>
            <w:vAlign w:val="bottom"/>
          </w:tcPr>
          <w:p w14:paraId="16C36E45" w14:textId="77777777" w:rsidR="00A031A6" w:rsidRDefault="00916FD0">
            <w:pPr>
              <w:jc w:val="right"/>
              <w:rPr>
                <w:color w:val="000000"/>
                <w:sz w:val="14"/>
                <w:szCs w:val="14"/>
              </w:rPr>
            </w:pPr>
            <w:r>
              <w:rPr>
                <w:color w:val="000000"/>
                <w:sz w:val="14"/>
                <w:szCs w:val="14"/>
              </w:rPr>
              <w:t>8,379,484</w:t>
            </w:r>
          </w:p>
        </w:tc>
        <w:tc>
          <w:tcPr>
            <w:tcW w:w="1510" w:type="dxa"/>
            <w:gridSpan w:val="2"/>
            <w:tcBorders>
              <w:top w:val="nil"/>
              <w:left w:val="nil"/>
              <w:bottom w:val="nil"/>
              <w:right w:val="nil"/>
            </w:tcBorders>
            <w:shd w:val="clear" w:color="auto" w:fill="FFFFFF"/>
            <w:vAlign w:val="bottom"/>
          </w:tcPr>
          <w:p w14:paraId="626A1C1D" w14:textId="77777777" w:rsidR="00A031A6" w:rsidRDefault="00916FD0">
            <w:pPr>
              <w:jc w:val="right"/>
              <w:rPr>
                <w:color w:val="000000"/>
                <w:sz w:val="14"/>
                <w:szCs w:val="14"/>
              </w:rPr>
            </w:pPr>
            <w:r>
              <w:rPr>
                <w:color w:val="000000"/>
                <w:sz w:val="14"/>
                <w:szCs w:val="14"/>
              </w:rPr>
              <w:t>8,153,409</w:t>
            </w:r>
          </w:p>
        </w:tc>
        <w:tc>
          <w:tcPr>
            <w:tcW w:w="1254" w:type="dxa"/>
            <w:gridSpan w:val="2"/>
            <w:tcBorders>
              <w:top w:val="nil"/>
              <w:left w:val="nil"/>
              <w:bottom w:val="nil"/>
              <w:right w:val="nil"/>
            </w:tcBorders>
            <w:shd w:val="clear" w:color="auto" w:fill="FFFFFF"/>
            <w:vAlign w:val="bottom"/>
          </w:tcPr>
          <w:p w14:paraId="1BC57694"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0162D0C7" w14:textId="77777777" w:rsidR="00A031A6" w:rsidRDefault="00916FD0">
            <w:pPr>
              <w:jc w:val="right"/>
              <w:rPr>
                <w:color w:val="000000"/>
                <w:sz w:val="14"/>
                <w:szCs w:val="14"/>
              </w:rPr>
            </w:pPr>
            <w:r>
              <w:rPr>
                <w:color w:val="000000"/>
                <w:sz w:val="14"/>
                <w:szCs w:val="14"/>
              </w:rPr>
              <w:t>65,453,345</w:t>
            </w:r>
          </w:p>
        </w:tc>
        <w:tc>
          <w:tcPr>
            <w:tcW w:w="986" w:type="dxa"/>
            <w:gridSpan w:val="2"/>
            <w:tcBorders>
              <w:top w:val="nil"/>
              <w:left w:val="nil"/>
              <w:bottom w:val="nil"/>
              <w:right w:val="nil"/>
            </w:tcBorders>
            <w:shd w:val="clear" w:color="auto" w:fill="FFFFFF"/>
            <w:vAlign w:val="bottom"/>
          </w:tcPr>
          <w:p w14:paraId="46F020EF"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052C44F9"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0E5EC2BA"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64610ADF" w14:textId="77777777" w:rsidR="00A031A6" w:rsidRDefault="00916FD0">
            <w:pPr>
              <w:jc w:val="right"/>
              <w:rPr>
                <w:color w:val="000000"/>
                <w:sz w:val="14"/>
                <w:szCs w:val="14"/>
              </w:rPr>
            </w:pPr>
            <w:r>
              <w:rPr>
                <w:color w:val="000000"/>
                <w:sz w:val="14"/>
                <w:szCs w:val="14"/>
              </w:rPr>
              <w:t>95%</w:t>
            </w:r>
          </w:p>
        </w:tc>
        <w:tc>
          <w:tcPr>
            <w:tcW w:w="1426" w:type="dxa"/>
            <w:gridSpan w:val="2"/>
            <w:tcBorders>
              <w:top w:val="nil"/>
              <w:left w:val="nil"/>
              <w:bottom w:val="nil"/>
              <w:right w:val="nil"/>
            </w:tcBorders>
            <w:shd w:val="clear" w:color="auto" w:fill="FFFFFF"/>
            <w:vAlign w:val="bottom"/>
          </w:tcPr>
          <w:p w14:paraId="79EAFAC7" w14:textId="77777777" w:rsidR="00A031A6" w:rsidRDefault="00916FD0">
            <w:pPr>
              <w:jc w:val="right"/>
              <w:rPr>
                <w:color w:val="000000"/>
                <w:sz w:val="14"/>
                <w:szCs w:val="14"/>
              </w:rPr>
            </w:pPr>
            <w:r>
              <w:rPr>
                <w:color w:val="000000"/>
                <w:sz w:val="14"/>
                <w:szCs w:val="14"/>
              </w:rPr>
              <w:t>65,453,345</w:t>
            </w:r>
          </w:p>
        </w:tc>
        <w:tc>
          <w:tcPr>
            <w:tcW w:w="1070" w:type="dxa"/>
            <w:tcBorders>
              <w:top w:val="nil"/>
              <w:left w:val="nil"/>
              <w:bottom w:val="nil"/>
              <w:right w:val="nil"/>
            </w:tcBorders>
            <w:shd w:val="clear" w:color="auto" w:fill="FFFFFF"/>
            <w:vAlign w:val="bottom"/>
          </w:tcPr>
          <w:p w14:paraId="46A3A877" w14:textId="77777777" w:rsidR="00A031A6" w:rsidRDefault="00916FD0">
            <w:pPr>
              <w:jc w:val="right"/>
              <w:rPr>
                <w:color w:val="000000"/>
                <w:sz w:val="14"/>
                <w:szCs w:val="14"/>
              </w:rPr>
            </w:pPr>
            <w:r>
              <w:rPr>
                <w:color w:val="000000"/>
                <w:sz w:val="14"/>
                <w:szCs w:val="14"/>
              </w:rPr>
              <w:t>0%</w:t>
            </w:r>
          </w:p>
        </w:tc>
      </w:tr>
      <w:tr w:rsidR="00A031A6" w14:paraId="198D9CD9" w14:textId="77777777">
        <w:trPr>
          <w:trHeight w:val="57"/>
        </w:trPr>
        <w:tc>
          <w:tcPr>
            <w:tcW w:w="1560" w:type="dxa"/>
            <w:gridSpan w:val="2"/>
            <w:tcBorders>
              <w:top w:val="nil"/>
              <w:left w:val="nil"/>
              <w:bottom w:val="nil"/>
              <w:right w:val="nil"/>
            </w:tcBorders>
            <w:shd w:val="clear" w:color="auto" w:fill="FFFFFF"/>
            <w:vAlign w:val="bottom"/>
          </w:tcPr>
          <w:p w14:paraId="271763CC" w14:textId="77777777"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14:paraId="475C44D4" w14:textId="77777777" w:rsidR="00A031A6" w:rsidRDefault="00916FD0">
            <w:pPr>
              <w:jc w:val="right"/>
              <w:rPr>
                <w:color w:val="000000"/>
                <w:sz w:val="14"/>
                <w:szCs w:val="14"/>
              </w:rPr>
            </w:pPr>
            <w:r>
              <w:rPr>
                <w:color w:val="000000"/>
                <w:sz w:val="14"/>
                <w:szCs w:val="14"/>
              </w:rPr>
              <w:t>66,489,109</w:t>
            </w:r>
          </w:p>
        </w:tc>
        <w:tc>
          <w:tcPr>
            <w:tcW w:w="1043" w:type="dxa"/>
            <w:gridSpan w:val="2"/>
            <w:tcBorders>
              <w:top w:val="nil"/>
              <w:left w:val="nil"/>
              <w:bottom w:val="nil"/>
              <w:right w:val="nil"/>
            </w:tcBorders>
            <w:shd w:val="clear" w:color="auto" w:fill="FFFFFF"/>
            <w:vAlign w:val="bottom"/>
          </w:tcPr>
          <w:p w14:paraId="39C949F0" w14:textId="77777777" w:rsidR="00A031A6" w:rsidRDefault="00916FD0">
            <w:pPr>
              <w:jc w:val="right"/>
              <w:rPr>
                <w:color w:val="000000"/>
                <w:sz w:val="14"/>
                <w:szCs w:val="14"/>
              </w:rPr>
            </w:pPr>
            <w:r>
              <w:rPr>
                <w:color w:val="000000"/>
                <w:sz w:val="14"/>
                <w:szCs w:val="14"/>
              </w:rPr>
              <w:t>65,453,345</w:t>
            </w:r>
          </w:p>
        </w:tc>
        <w:tc>
          <w:tcPr>
            <w:tcW w:w="967" w:type="dxa"/>
            <w:gridSpan w:val="2"/>
            <w:tcBorders>
              <w:top w:val="nil"/>
              <w:left w:val="nil"/>
              <w:bottom w:val="nil"/>
              <w:right w:val="nil"/>
            </w:tcBorders>
            <w:shd w:val="clear" w:color="auto" w:fill="FFFFFF"/>
            <w:vAlign w:val="bottom"/>
          </w:tcPr>
          <w:p w14:paraId="7A265C9E" w14:textId="77777777" w:rsidR="00A031A6" w:rsidRDefault="00916FD0">
            <w:pPr>
              <w:jc w:val="right"/>
              <w:rPr>
                <w:color w:val="000000"/>
                <w:sz w:val="14"/>
                <w:szCs w:val="14"/>
              </w:rPr>
            </w:pPr>
            <w:r>
              <w:rPr>
                <w:color w:val="000000"/>
                <w:sz w:val="14"/>
                <w:szCs w:val="14"/>
              </w:rPr>
              <w:t>9,217,432</w:t>
            </w:r>
          </w:p>
        </w:tc>
        <w:tc>
          <w:tcPr>
            <w:tcW w:w="1510" w:type="dxa"/>
            <w:gridSpan w:val="2"/>
            <w:tcBorders>
              <w:top w:val="nil"/>
              <w:left w:val="nil"/>
              <w:bottom w:val="nil"/>
              <w:right w:val="nil"/>
            </w:tcBorders>
            <w:shd w:val="clear" w:color="auto" w:fill="FFFFFF"/>
            <w:vAlign w:val="bottom"/>
          </w:tcPr>
          <w:p w14:paraId="2CBC10D6" w14:textId="77777777" w:rsidR="00A031A6" w:rsidRDefault="00916FD0">
            <w:pPr>
              <w:jc w:val="right"/>
              <w:rPr>
                <w:color w:val="000000"/>
                <w:sz w:val="14"/>
                <w:szCs w:val="14"/>
              </w:rPr>
            </w:pPr>
            <w:r>
              <w:rPr>
                <w:color w:val="000000"/>
                <w:sz w:val="14"/>
                <w:szCs w:val="14"/>
              </w:rPr>
              <w:t>8,181,668</w:t>
            </w:r>
          </w:p>
        </w:tc>
        <w:tc>
          <w:tcPr>
            <w:tcW w:w="1254" w:type="dxa"/>
            <w:gridSpan w:val="2"/>
            <w:tcBorders>
              <w:top w:val="nil"/>
              <w:left w:val="nil"/>
              <w:bottom w:val="nil"/>
              <w:right w:val="nil"/>
            </w:tcBorders>
            <w:shd w:val="clear" w:color="auto" w:fill="FFFFFF"/>
            <w:vAlign w:val="bottom"/>
          </w:tcPr>
          <w:p w14:paraId="45DEA9E6"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0A28B353" w14:textId="77777777" w:rsidR="00A031A6" w:rsidRDefault="00916FD0">
            <w:pPr>
              <w:jc w:val="right"/>
              <w:rPr>
                <w:color w:val="000000"/>
                <w:sz w:val="14"/>
                <w:szCs w:val="14"/>
              </w:rPr>
            </w:pPr>
            <w:r>
              <w:rPr>
                <w:color w:val="000000"/>
                <w:sz w:val="14"/>
                <w:szCs w:val="14"/>
              </w:rPr>
              <w:t>66,489,109</w:t>
            </w:r>
          </w:p>
        </w:tc>
        <w:tc>
          <w:tcPr>
            <w:tcW w:w="986" w:type="dxa"/>
            <w:gridSpan w:val="2"/>
            <w:tcBorders>
              <w:top w:val="nil"/>
              <w:left w:val="nil"/>
              <w:bottom w:val="nil"/>
              <w:right w:val="nil"/>
            </w:tcBorders>
            <w:shd w:val="clear" w:color="auto" w:fill="FFFFFF"/>
            <w:vAlign w:val="bottom"/>
          </w:tcPr>
          <w:p w14:paraId="567437AA"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43885DA8"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617DDB42"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34515C07" w14:textId="77777777" w:rsidR="00A031A6" w:rsidRDefault="00916FD0">
            <w:pPr>
              <w:jc w:val="right"/>
              <w:rPr>
                <w:color w:val="000000"/>
                <w:sz w:val="14"/>
                <w:szCs w:val="14"/>
              </w:rPr>
            </w:pPr>
            <w:r>
              <w:rPr>
                <w:color w:val="000000"/>
                <w:sz w:val="14"/>
                <w:szCs w:val="14"/>
              </w:rPr>
              <w:t>96%</w:t>
            </w:r>
          </w:p>
        </w:tc>
        <w:tc>
          <w:tcPr>
            <w:tcW w:w="1426" w:type="dxa"/>
            <w:gridSpan w:val="2"/>
            <w:tcBorders>
              <w:top w:val="nil"/>
              <w:left w:val="nil"/>
              <w:bottom w:val="nil"/>
              <w:right w:val="nil"/>
            </w:tcBorders>
            <w:shd w:val="clear" w:color="auto" w:fill="FFFFFF"/>
            <w:vAlign w:val="bottom"/>
          </w:tcPr>
          <w:p w14:paraId="30444559" w14:textId="77777777" w:rsidR="00A031A6" w:rsidRDefault="00916FD0">
            <w:pPr>
              <w:jc w:val="right"/>
              <w:rPr>
                <w:color w:val="000000"/>
                <w:sz w:val="14"/>
                <w:szCs w:val="14"/>
              </w:rPr>
            </w:pPr>
            <w:r>
              <w:rPr>
                <w:color w:val="000000"/>
                <w:sz w:val="14"/>
                <w:szCs w:val="14"/>
              </w:rPr>
              <w:t>66,489,109</w:t>
            </w:r>
          </w:p>
        </w:tc>
        <w:tc>
          <w:tcPr>
            <w:tcW w:w="1070" w:type="dxa"/>
            <w:tcBorders>
              <w:top w:val="nil"/>
              <w:left w:val="nil"/>
              <w:bottom w:val="nil"/>
              <w:right w:val="nil"/>
            </w:tcBorders>
            <w:shd w:val="clear" w:color="auto" w:fill="FFFFFF"/>
            <w:vAlign w:val="bottom"/>
          </w:tcPr>
          <w:p w14:paraId="462521C7" w14:textId="77777777" w:rsidR="00A031A6" w:rsidRDefault="00916FD0">
            <w:pPr>
              <w:jc w:val="right"/>
              <w:rPr>
                <w:color w:val="000000"/>
                <w:sz w:val="14"/>
                <w:szCs w:val="14"/>
              </w:rPr>
            </w:pPr>
            <w:r>
              <w:rPr>
                <w:color w:val="000000"/>
                <w:sz w:val="14"/>
                <w:szCs w:val="14"/>
              </w:rPr>
              <w:t>0%</w:t>
            </w:r>
          </w:p>
        </w:tc>
      </w:tr>
      <w:tr w:rsidR="00A031A6" w14:paraId="65F97F07" w14:textId="77777777">
        <w:trPr>
          <w:trHeight w:val="57"/>
        </w:trPr>
        <w:tc>
          <w:tcPr>
            <w:tcW w:w="1560" w:type="dxa"/>
            <w:gridSpan w:val="2"/>
            <w:tcBorders>
              <w:top w:val="nil"/>
              <w:left w:val="nil"/>
              <w:bottom w:val="nil"/>
              <w:right w:val="nil"/>
            </w:tcBorders>
            <w:shd w:val="clear" w:color="auto" w:fill="FFFFFF"/>
            <w:vAlign w:val="bottom"/>
          </w:tcPr>
          <w:p w14:paraId="68C6E43B" w14:textId="77777777"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14:paraId="312E9C80" w14:textId="77777777" w:rsidR="00A031A6" w:rsidRDefault="00916FD0">
            <w:pPr>
              <w:jc w:val="right"/>
              <w:rPr>
                <w:color w:val="000000"/>
                <w:sz w:val="14"/>
                <w:szCs w:val="14"/>
              </w:rPr>
            </w:pPr>
            <w:r>
              <w:rPr>
                <w:color w:val="000000"/>
                <w:sz w:val="14"/>
                <w:szCs w:val="14"/>
              </w:rPr>
              <w:t>68,317,145</w:t>
            </w:r>
          </w:p>
        </w:tc>
        <w:tc>
          <w:tcPr>
            <w:tcW w:w="1043" w:type="dxa"/>
            <w:gridSpan w:val="2"/>
            <w:tcBorders>
              <w:top w:val="nil"/>
              <w:left w:val="nil"/>
              <w:bottom w:val="nil"/>
              <w:right w:val="nil"/>
            </w:tcBorders>
            <w:shd w:val="clear" w:color="auto" w:fill="FFFFFF"/>
            <w:vAlign w:val="bottom"/>
          </w:tcPr>
          <w:p w14:paraId="6436B802" w14:textId="77777777" w:rsidR="00A031A6" w:rsidRDefault="00916FD0">
            <w:pPr>
              <w:jc w:val="right"/>
              <w:rPr>
                <w:color w:val="000000"/>
                <w:sz w:val="14"/>
                <w:szCs w:val="14"/>
              </w:rPr>
            </w:pPr>
            <w:r>
              <w:rPr>
                <w:color w:val="000000"/>
                <w:sz w:val="14"/>
                <w:szCs w:val="14"/>
              </w:rPr>
              <w:t>66,489,109</w:t>
            </w:r>
          </w:p>
        </w:tc>
        <w:tc>
          <w:tcPr>
            <w:tcW w:w="967" w:type="dxa"/>
            <w:gridSpan w:val="2"/>
            <w:tcBorders>
              <w:top w:val="nil"/>
              <w:left w:val="nil"/>
              <w:bottom w:val="nil"/>
              <w:right w:val="nil"/>
            </w:tcBorders>
            <w:shd w:val="clear" w:color="auto" w:fill="FFFFFF"/>
            <w:vAlign w:val="bottom"/>
          </w:tcPr>
          <w:p w14:paraId="223E18F1" w14:textId="77777777" w:rsidR="00A031A6" w:rsidRDefault="00916FD0">
            <w:pPr>
              <w:jc w:val="right"/>
              <w:rPr>
                <w:color w:val="000000"/>
                <w:sz w:val="14"/>
                <w:szCs w:val="14"/>
              </w:rPr>
            </w:pPr>
            <w:r>
              <w:rPr>
                <w:color w:val="000000"/>
                <w:sz w:val="14"/>
                <w:szCs w:val="14"/>
              </w:rPr>
              <w:t>10,139,175</w:t>
            </w:r>
          </w:p>
        </w:tc>
        <w:tc>
          <w:tcPr>
            <w:tcW w:w="1510" w:type="dxa"/>
            <w:gridSpan w:val="2"/>
            <w:tcBorders>
              <w:top w:val="nil"/>
              <w:left w:val="nil"/>
              <w:bottom w:val="nil"/>
              <w:right w:val="nil"/>
            </w:tcBorders>
            <w:shd w:val="clear" w:color="auto" w:fill="FFFFFF"/>
            <w:vAlign w:val="bottom"/>
          </w:tcPr>
          <w:p w14:paraId="434FA4D3" w14:textId="77777777" w:rsidR="00A031A6" w:rsidRDefault="00916FD0">
            <w:pPr>
              <w:jc w:val="right"/>
              <w:rPr>
                <w:color w:val="000000"/>
                <w:sz w:val="14"/>
                <w:szCs w:val="14"/>
              </w:rPr>
            </w:pPr>
            <w:r>
              <w:rPr>
                <w:color w:val="000000"/>
                <w:sz w:val="14"/>
                <w:szCs w:val="14"/>
              </w:rPr>
              <w:t>8,311,139</w:t>
            </w:r>
          </w:p>
        </w:tc>
        <w:tc>
          <w:tcPr>
            <w:tcW w:w="1254" w:type="dxa"/>
            <w:gridSpan w:val="2"/>
            <w:tcBorders>
              <w:top w:val="nil"/>
              <w:left w:val="nil"/>
              <w:bottom w:val="nil"/>
              <w:right w:val="nil"/>
            </w:tcBorders>
            <w:shd w:val="clear" w:color="auto" w:fill="FFFFFF"/>
            <w:vAlign w:val="bottom"/>
          </w:tcPr>
          <w:p w14:paraId="6173133C"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16B5C3CF" w14:textId="77777777" w:rsidR="00A031A6" w:rsidRDefault="00916FD0">
            <w:pPr>
              <w:jc w:val="right"/>
              <w:rPr>
                <w:color w:val="000000"/>
                <w:sz w:val="14"/>
                <w:szCs w:val="14"/>
              </w:rPr>
            </w:pPr>
            <w:r>
              <w:rPr>
                <w:color w:val="000000"/>
                <w:sz w:val="14"/>
                <w:szCs w:val="14"/>
              </w:rPr>
              <w:t>68,317,145</w:t>
            </w:r>
          </w:p>
        </w:tc>
        <w:tc>
          <w:tcPr>
            <w:tcW w:w="986" w:type="dxa"/>
            <w:gridSpan w:val="2"/>
            <w:tcBorders>
              <w:top w:val="nil"/>
              <w:left w:val="nil"/>
              <w:bottom w:val="nil"/>
              <w:right w:val="nil"/>
            </w:tcBorders>
            <w:shd w:val="clear" w:color="auto" w:fill="FFFFFF"/>
            <w:vAlign w:val="bottom"/>
          </w:tcPr>
          <w:p w14:paraId="56259BF6"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7BDD1C4F"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6C93EAC6"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01A29350" w14:textId="77777777" w:rsidR="00A031A6" w:rsidRDefault="00916FD0">
            <w:pPr>
              <w:jc w:val="right"/>
              <w:rPr>
                <w:color w:val="000000"/>
                <w:sz w:val="14"/>
                <w:szCs w:val="14"/>
              </w:rPr>
            </w:pPr>
            <w:r>
              <w:rPr>
                <w:color w:val="000000"/>
                <w:sz w:val="14"/>
                <w:szCs w:val="14"/>
              </w:rPr>
              <w:t>97%</w:t>
            </w:r>
          </w:p>
        </w:tc>
        <w:tc>
          <w:tcPr>
            <w:tcW w:w="1426" w:type="dxa"/>
            <w:gridSpan w:val="2"/>
            <w:tcBorders>
              <w:top w:val="nil"/>
              <w:left w:val="nil"/>
              <w:bottom w:val="nil"/>
              <w:right w:val="nil"/>
            </w:tcBorders>
            <w:shd w:val="clear" w:color="auto" w:fill="FFFFFF"/>
            <w:vAlign w:val="bottom"/>
          </w:tcPr>
          <w:p w14:paraId="54FA0E65" w14:textId="77777777" w:rsidR="00A031A6" w:rsidRDefault="00916FD0">
            <w:pPr>
              <w:jc w:val="right"/>
              <w:rPr>
                <w:color w:val="000000"/>
                <w:sz w:val="14"/>
                <w:szCs w:val="14"/>
              </w:rPr>
            </w:pPr>
            <w:r>
              <w:rPr>
                <w:color w:val="000000"/>
                <w:sz w:val="14"/>
                <w:szCs w:val="14"/>
              </w:rPr>
              <w:t>68,317,145</w:t>
            </w:r>
          </w:p>
        </w:tc>
        <w:tc>
          <w:tcPr>
            <w:tcW w:w="1070" w:type="dxa"/>
            <w:tcBorders>
              <w:top w:val="nil"/>
              <w:left w:val="nil"/>
              <w:bottom w:val="nil"/>
              <w:right w:val="nil"/>
            </w:tcBorders>
            <w:shd w:val="clear" w:color="auto" w:fill="FFFFFF"/>
            <w:vAlign w:val="bottom"/>
          </w:tcPr>
          <w:p w14:paraId="18072A96" w14:textId="77777777" w:rsidR="00A031A6" w:rsidRDefault="00916FD0">
            <w:pPr>
              <w:jc w:val="right"/>
              <w:rPr>
                <w:color w:val="000000"/>
                <w:sz w:val="14"/>
                <w:szCs w:val="14"/>
              </w:rPr>
            </w:pPr>
            <w:r>
              <w:rPr>
                <w:color w:val="000000"/>
                <w:sz w:val="14"/>
                <w:szCs w:val="14"/>
              </w:rPr>
              <w:t>0%</w:t>
            </w:r>
          </w:p>
        </w:tc>
      </w:tr>
      <w:tr w:rsidR="00A031A6" w14:paraId="638A4CDA" w14:textId="77777777">
        <w:trPr>
          <w:trHeight w:val="57"/>
        </w:trPr>
        <w:tc>
          <w:tcPr>
            <w:tcW w:w="1560" w:type="dxa"/>
            <w:gridSpan w:val="2"/>
            <w:tcBorders>
              <w:top w:val="nil"/>
              <w:left w:val="nil"/>
              <w:bottom w:val="nil"/>
              <w:right w:val="nil"/>
            </w:tcBorders>
            <w:shd w:val="clear" w:color="auto" w:fill="FFFFFF"/>
            <w:vAlign w:val="bottom"/>
          </w:tcPr>
          <w:p w14:paraId="2F8B14C6" w14:textId="77777777"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14:paraId="05A8B29F" w14:textId="77777777" w:rsidR="00A031A6" w:rsidRDefault="00916FD0">
            <w:pPr>
              <w:jc w:val="right"/>
              <w:rPr>
                <w:color w:val="000000"/>
                <w:sz w:val="14"/>
                <w:szCs w:val="14"/>
              </w:rPr>
            </w:pPr>
            <w:r>
              <w:rPr>
                <w:color w:val="000000"/>
                <w:sz w:val="14"/>
                <w:szCs w:val="14"/>
              </w:rPr>
              <w:t>70,930,595</w:t>
            </w:r>
          </w:p>
        </w:tc>
        <w:tc>
          <w:tcPr>
            <w:tcW w:w="1043" w:type="dxa"/>
            <w:gridSpan w:val="2"/>
            <w:tcBorders>
              <w:top w:val="nil"/>
              <w:left w:val="nil"/>
              <w:bottom w:val="nil"/>
              <w:right w:val="nil"/>
            </w:tcBorders>
            <w:shd w:val="clear" w:color="auto" w:fill="FFFFFF"/>
            <w:vAlign w:val="bottom"/>
          </w:tcPr>
          <w:p w14:paraId="33D92433" w14:textId="77777777" w:rsidR="00A031A6" w:rsidRDefault="00916FD0">
            <w:pPr>
              <w:jc w:val="right"/>
              <w:rPr>
                <w:color w:val="000000"/>
                <w:sz w:val="14"/>
                <w:szCs w:val="14"/>
              </w:rPr>
            </w:pPr>
            <w:r>
              <w:rPr>
                <w:color w:val="000000"/>
                <w:sz w:val="14"/>
                <w:szCs w:val="14"/>
              </w:rPr>
              <w:t>68,317,145</w:t>
            </w:r>
          </w:p>
        </w:tc>
        <w:tc>
          <w:tcPr>
            <w:tcW w:w="967" w:type="dxa"/>
            <w:gridSpan w:val="2"/>
            <w:tcBorders>
              <w:top w:val="nil"/>
              <w:left w:val="nil"/>
              <w:bottom w:val="nil"/>
              <w:right w:val="nil"/>
            </w:tcBorders>
            <w:shd w:val="clear" w:color="auto" w:fill="FFFFFF"/>
            <w:vAlign w:val="bottom"/>
          </w:tcPr>
          <w:p w14:paraId="2C4E9956" w14:textId="77777777" w:rsidR="00A031A6" w:rsidRDefault="00916FD0">
            <w:pPr>
              <w:jc w:val="right"/>
              <w:rPr>
                <w:color w:val="000000"/>
                <w:sz w:val="14"/>
                <w:szCs w:val="14"/>
              </w:rPr>
            </w:pPr>
            <w:r>
              <w:rPr>
                <w:color w:val="000000"/>
                <w:sz w:val="14"/>
                <w:szCs w:val="14"/>
              </w:rPr>
              <w:t>11,153,093</w:t>
            </w:r>
          </w:p>
        </w:tc>
        <w:tc>
          <w:tcPr>
            <w:tcW w:w="1510" w:type="dxa"/>
            <w:gridSpan w:val="2"/>
            <w:tcBorders>
              <w:top w:val="nil"/>
              <w:left w:val="nil"/>
              <w:bottom w:val="nil"/>
              <w:right w:val="nil"/>
            </w:tcBorders>
            <w:shd w:val="clear" w:color="auto" w:fill="FFFFFF"/>
            <w:vAlign w:val="bottom"/>
          </w:tcPr>
          <w:p w14:paraId="5E5D45CB" w14:textId="77777777" w:rsidR="00A031A6" w:rsidRDefault="00916FD0">
            <w:pPr>
              <w:jc w:val="right"/>
              <w:rPr>
                <w:color w:val="000000"/>
                <w:sz w:val="14"/>
                <w:szCs w:val="14"/>
              </w:rPr>
            </w:pPr>
            <w:r>
              <w:rPr>
                <w:color w:val="000000"/>
                <w:sz w:val="14"/>
                <w:szCs w:val="14"/>
              </w:rPr>
              <w:t>8,539,643</w:t>
            </w:r>
          </w:p>
        </w:tc>
        <w:tc>
          <w:tcPr>
            <w:tcW w:w="1254" w:type="dxa"/>
            <w:gridSpan w:val="2"/>
            <w:tcBorders>
              <w:top w:val="nil"/>
              <w:left w:val="nil"/>
              <w:bottom w:val="nil"/>
              <w:right w:val="nil"/>
            </w:tcBorders>
            <w:shd w:val="clear" w:color="auto" w:fill="FFFFFF"/>
            <w:vAlign w:val="bottom"/>
          </w:tcPr>
          <w:p w14:paraId="3B4B5683"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5442AA4B" w14:textId="77777777" w:rsidR="00A031A6" w:rsidRDefault="00916FD0">
            <w:pPr>
              <w:jc w:val="right"/>
              <w:rPr>
                <w:color w:val="000000"/>
                <w:sz w:val="14"/>
                <w:szCs w:val="14"/>
              </w:rPr>
            </w:pPr>
            <w:r>
              <w:rPr>
                <w:color w:val="000000"/>
                <w:sz w:val="14"/>
                <w:szCs w:val="14"/>
              </w:rPr>
              <w:t>59,777,502</w:t>
            </w:r>
          </w:p>
        </w:tc>
        <w:tc>
          <w:tcPr>
            <w:tcW w:w="986" w:type="dxa"/>
            <w:gridSpan w:val="2"/>
            <w:tcBorders>
              <w:top w:val="nil"/>
              <w:left w:val="nil"/>
              <w:bottom w:val="nil"/>
              <w:right w:val="nil"/>
            </w:tcBorders>
            <w:shd w:val="clear" w:color="auto" w:fill="FFFFFF"/>
            <w:vAlign w:val="bottom"/>
          </w:tcPr>
          <w:p w14:paraId="1C8BDCC2" w14:textId="77777777" w:rsidR="00A031A6" w:rsidRDefault="00916FD0">
            <w:pPr>
              <w:jc w:val="right"/>
              <w:rPr>
                <w:color w:val="000000"/>
                <w:sz w:val="14"/>
                <w:szCs w:val="14"/>
              </w:rPr>
            </w:pPr>
            <w:r>
              <w:rPr>
                <w:color w:val="000000"/>
                <w:sz w:val="14"/>
                <w:szCs w:val="14"/>
              </w:rPr>
              <w:t>84%</w:t>
            </w:r>
          </w:p>
        </w:tc>
        <w:tc>
          <w:tcPr>
            <w:tcW w:w="1214" w:type="dxa"/>
            <w:gridSpan w:val="2"/>
            <w:tcBorders>
              <w:top w:val="nil"/>
              <w:left w:val="nil"/>
              <w:bottom w:val="nil"/>
              <w:right w:val="nil"/>
            </w:tcBorders>
            <w:shd w:val="clear" w:color="auto" w:fill="FFFFFF"/>
            <w:vAlign w:val="bottom"/>
          </w:tcPr>
          <w:p w14:paraId="3CA0CC54" w14:textId="77777777" w:rsidR="00A031A6" w:rsidRDefault="00916FD0">
            <w:pPr>
              <w:jc w:val="right"/>
              <w:rPr>
                <w:color w:val="000000"/>
                <w:sz w:val="14"/>
                <w:szCs w:val="14"/>
              </w:rPr>
            </w:pPr>
            <w:r>
              <w:rPr>
                <w:color w:val="000000"/>
                <w:sz w:val="14"/>
                <w:szCs w:val="14"/>
              </w:rPr>
              <w:t>11,153,093</w:t>
            </w:r>
          </w:p>
        </w:tc>
        <w:tc>
          <w:tcPr>
            <w:tcW w:w="1216" w:type="dxa"/>
            <w:gridSpan w:val="2"/>
            <w:tcBorders>
              <w:top w:val="nil"/>
              <w:left w:val="nil"/>
              <w:bottom w:val="nil"/>
              <w:right w:val="nil"/>
            </w:tcBorders>
            <w:shd w:val="clear" w:color="auto" w:fill="FFFFFF"/>
            <w:vAlign w:val="bottom"/>
          </w:tcPr>
          <w:p w14:paraId="7FCB81C9" w14:textId="77777777" w:rsidR="00A031A6" w:rsidRDefault="00916FD0">
            <w:pPr>
              <w:jc w:val="right"/>
              <w:rPr>
                <w:color w:val="000000"/>
                <w:sz w:val="14"/>
                <w:szCs w:val="14"/>
              </w:rPr>
            </w:pPr>
            <w:r>
              <w:rPr>
                <w:color w:val="000000"/>
                <w:sz w:val="14"/>
                <w:szCs w:val="14"/>
              </w:rPr>
              <w:t>16%</w:t>
            </w:r>
          </w:p>
        </w:tc>
        <w:tc>
          <w:tcPr>
            <w:tcW w:w="988" w:type="dxa"/>
            <w:gridSpan w:val="2"/>
            <w:tcBorders>
              <w:top w:val="nil"/>
              <w:left w:val="nil"/>
              <w:bottom w:val="nil"/>
              <w:right w:val="nil"/>
            </w:tcBorders>
            <w:shd w:val="clear" w:color="auto" w:fill="FFFFFF"/>
            <w:vAlign w:val="bottom"/>
          </w:tcPr>
          <w:p w14:paraId="3D3F02F7" w14:textId="77777777" w:rsidR="00A031A6" w:rsidRDefault="00916FD0">
            <w:pPr>
              <w:jc w:val="right"/>
              <w:rPr>
                <w:color w:val="000000"/>
                <w:sz w:val="14"/>
                <w:szCs w:val="14"/>
              </w:rPr>
            </w:pPr>
            <w:r>
              <w:rPr>
                <w:color w:val="000000"/>
                <w:sz w:val="14"/>
                <w:szCs w:val="14"/>
              </w:rPr>
              <w:t>100%</w:t>
            </w:r>
          </w:p>
        </w:tc>
        <w:tc>
          <w:tcPr>
            <w:tcW w:w="1426" w:type="dxa"/>
            <w:gridSpan w:val="2"/>
            <w:tcBorders>
              <w:top w:val="nil"/>
              <w:left w:val="nil"/>
              <w:bottom w:val="nil"/>
              <w:right w:val="nil"/>
            </w:tcBorders>
            <w:shd w:val="clear" w:color="auto" w:fill="FFFFFF"/>
            <w:vAlign w:val="bottom"/>
          </w:tcPr>
          <w:p w14:paraId="35619CD1" w14:textId="77777777" w:rsidR="00A031A6" w:rsidRDefault="00916FD0">
            <w:pPr>
              <w:jc w:val="right"/>
              <w:rPr>
                <w:color w:val="000000"/>
                <w:sz w:val="14"/>
                <w:szCs w:val="14"/>
              </w:rPr>
            </w:pPr>
            <w:r>
              <w:rPr>
                <w:color w:val="000000"/>
                <w:sz w:val="14"/>
                <w:szCs w:val="14"/>
              </w:rPr>
              <w:t>70,930,595</w:t>
            </w:r>
          </w:p>
        </w:tc>
        <w:tc>
          <w:tcPr>
            <w:tcW w:w="1070" w:type="dxa"/>
            <w:tcBorders>
              <w:top w:val="nil"/>
              <w:left w:val="nil"/>
              <w:bottom w:val="nil"/>
              <w:right w:val="nil"/>
            </w:tcBorders>
            <w:shd w:val="clear" w:color="auto" w:fill="FFFFFF"/>
            <w:vAlign w:val="bottom"/>
          </w:tcPr>
          <w:p w14:paraId="7CC9C4A8" w14:textId="77777777" w:rsidR="00A031A6" w:rsidRDefault="00916FD0">
            <w:pPr>
              <w:jc w:val="right"/>
              <w:rPr>
                <w:color w:val="000000"/>
                <w:sz w:val="14"/>
                <w:szCs w:val="14"/>
              </w:rPr>
            </w:pPr>
            <w:r>
              <w:rPr>
                <w:color w:val="000000"/>
                <w:sz w:val="14"/>
                <w:szCs w:val="14"/>
              </w:rPr>
              <w:t>0%</w:t>
            </w:r>
          </w:p>
        </w:tc>
      </w:tr>
      <w:tr w:rsidR="00A031A6" w14:paraId="0AE2DEBC" w14:textId="77777777">
        <w:trPr>
          <w:trHeight w:val="57"/>
        </w:trPr>
        <w:tc>
          <w:tcPr>
            <w:tcW w:w="1560" w:type="dxa"/>
            <w:gridSpan w:val="2"/>
            <w:tcBorders>
              <w:top w:val="nil"/>
              <w:left w:val="nil"/>
              <w:bottom w:val="nil"/>
              <w:right w:val="nil"/>
            </w:tcBorders>
            <w:shd w:val="clear" w:color="auto" w:fill="FFFFFF"/>
            <w:vAlign w:val="bottom"/>
          </w:tcPr>
          <w:p w14:paraId="4BB32FB8" w14:textId="77777777"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14:paraId="343A8E98" w14:textId="77777777" w:rsidR="00A031A6" w:rsidRDefault="00916FD0">
            <w:pPr>
              <w:jc w:val="right"/>
              <w:rPr>
                <w:color w:val="000000"/>
                <w:sz w:val="14"/>
                <w:szCs w:val="14"/>
              </w:rPr>
            </w:pPr>
            <w:r>
              <w:rPr>
                <w:color w:val="000000"/>
                <w:sz w:val="14"/>
                <w:szCs w:val="14"/>
              </w:rPr>
              <w:t>74,332,672</w:t>
            </w:r>
          </w:p>
        </w:tc>
        <w:tc>
          <w:tcPr>
            <w:tcW w:w="1043" w:type="dxa"/>
            <w:gridSpan w:val="2"/>
            <w:tcBorders>
              <w:top w:val="nil"/>
              <w:left w:val="nil"/>
              <w:bottom w:val="nil"/>
              <w:right w:val="nil"/>
            </w:tcBorders>
            <w:shd w:val="clear" w:color="auto" w:fill="FFFFFF"/>
            <w:vAlign w:val="bottom"/>
          </w:tcPr>
          <w:p w14:paraId="457D3483" w14:textId="77777777" w:rsidR="00A031A6" w:rsidRDefault="00916FD0">
            <w:pPr>
              <w:jc w:val="right"/>
              <w:rPr>
                <w:color w:val="000000"/>
                <w:sz w:val="14"/>
                <w:szCs w:val="14"/>
              </w:rPr>
            </w:pPr>
            <w:r>
              <w:rPr>
                <w:color w:val="000000"/>
                <w:sz w:val="14"/>
                <w:szCs w:val="14"/>
              </w:rPr>
              <w:t>70,930,595</w:t>
            </w:r>
          </w:p>
        </w:tc>
        <w:tc>
          <w:tcPr>
            <w:tcW w:w="967" w:type="dxa"/>
            <w:gridSpan w:val="2"/>
            <w:tcBorders>
              <w:top w:val="nil"/>
              <w:left w:val="nil"/>
              <w:bottom w:val="nil"/>
              <w:right w:val="nil"/>
            </w:tcBorders>
            <w:shd w:val="clear" w:color="auto" w:fill="FFFFFF"/>
            <w:vAlign w:val="bottom"/>
          </w:tcPr>
          <w:p w14:paraId="6F545084" w14:textId="77777777" w:rsidR="00A031A6" w:rsidRDefault="00916FD0">
            <w:pPr>
              <w:jc w:val="right"/>
              <w:rPr>
                <w:color w:val="000000"/>
                <w:sz w:val="14"/>
                <w:szCs w:val="14"/>
              </w:rPr>
            </w:pPr>
            <w:r>
              <w:rPr>
                <w:color w:val="000000"/>
                <w:sz w:val="14"/>
                <w:szCs w:val="14"/>
              </w:rPr>
              <w:t>12,268,402</w:t>
            </w:r>
          </w:p>
        </w:tc>
        <w:tc>
          <w:tcPr>
            <w:tcW w:w="1510" w:type="dxa"/>
            <w:gridSpan w:val="2"/>
            <w:tcBorders>
              <w:top w:val="nil"/>
              <w:left w:val="nil"/>
              <w:bottom w:val="nil"/>
              <w:right w:val="nil"/>
            </w:tcBorders>
            <w:shd w:val="clear" w:color="auto" w:fill="FFFFFF"/>
            <w:vAlign w:val="bottom"/>
          </w:tcPr>
          <w:p w14:paraId="10A1CA5F" w14:textId="77777777" w:rsidR="00A031A6" w:rsidRDefault="00916FD0">
            <w:pPr>
              <w:jc w:val="right"/>
              <w:rPr>
                <w:color w:val="000000"/>
                <w:sz w:val="14"/>
                <w:szCs w:val="14"/>
              </w:rPr>
            </w:pPr>
            <w:r>
              <w:rPr>
                <w:color w:val="000000"/>
                <w:sz w:val="14"/>
                <w:szCs w:val="14"/>
              </w:rPr>
              <w:t>7,472,188</w:t>
            </w:r>
          </w:p>
        </w:tc>
        <w:tc>
          <w:tcPr>
            <w:tcW w:w="1254" w:type="dxa"/>
            <w:gridSpan w:val="2"/>
            <w:tcBorders>
              <w:top w:val="nil"/>
              <w:left w:val="nil"/>
              <w:bottom w:val="nil"/>
              <w:right w:val="nil"/>
            </w:tcBorders>
            <w:shd w:val="clear" w:color="auto" w:fill="FFFFFF"/>
            <w:vAlign w:val="bottom"/>
          </w:tcPr>
          <w:p w14:paraId="29DD6013" w14:textId="77777777" w:rsidR="00A031A6" w:rsidRDefault="00916FD0">
            <w:pPr>
              <w:jc w:val="right"/>
              <w:rPr>
                <w:color w:val="000000"/>
                <w:sz w:val="14"/>
                <w:szCs w:val="14"/>
              </w:rPr>
            </w:pPr>
            <w:r>
              <w:rPr>
                <w:color w:val="000000"/>
                <w:sz w:val="14"/>
                <w:szCs w:val="14"/>
              </w:rPr>
              <w:t>1,394,137</w:t>
            </w:r>
          </w:p>
        </w:tc>
        <w:tc>
          <w:tcPr>
            <w:tcW w:w="995" w:type="dxa"/>
            <w:tcBorders>
              <w:top w:val="nil"/>
              <w:left w:val="nil"/>
              <w:bottom w:val="nil"/>
              <w:right w:val="nil"/>
            </w:tcBorders>
            <w:shd w:val="clear" w:color="auto" w:fill="FFFFFF"/>
            <w:vAlign w:val="bottom"/>
          </w:tcPr>
          <w:p w14:paraId="2CBB9045" w14:textId="77777777" w:rsidR="00A031A6" w:rsidRDefault="00916FD0">
            <w:pPr>
              <w:jc w:val="right"/>
              <w:rPr>
                <w:color w:val="000000"/>
                <w:sz w:val="14"/>
                <w:szCs w:val="14"/>
              </w:rPr>
            </w:pPr>
            <w:r>
              <w:rPr>
                <w:color w:val="000000"/>
                <w:sz w:val="14"/>
                <w:szCs w:val="14"/>
              </w:rPr>
              <w:t>52,305,314</w:t>
            </w:r>
          </w:p>
        </w:tc>
        <w:tc>
          <w:tcPr>
            <w:tcW w:w="986" w:type="dxa"/>
            <w:gridSpan w:val="2"/>
            <w:tcBorders>
              <w:top w:val="nil"/>
              <w:left w:val="nil"/>
              <w:bottom w:val="nil"/>
              <w:right w:val="nil"/>
            </w:tcBorders>
            <w:shd w:val="clear" w:color="auto" w:fill="FFFFFF"/>
            <w:vAlign w:val="bottom"/>
          </w:tcPr>
          <w:p w14:paraId="329A78F7" w14:textId="77777777" w:rsidR="00A031A6" w:rsidRDefault="00916FD0">
            <w:pPr>
              <w:jc w:val="right"/>
              <w:rPr>
                <w:color w:val="000000"/>
                <w:sz w:val="14"/>
                <w:szCs w:val="14"/>
              </w:rPr>
            </w:pPr>
            <w:r>
              <w:rPr>
                <w:color w:val="000000"/>
                <w:sz w:val="14"/>
                <w:szCs w:val="14"/>
              </w:rPr>
              <w:t>70%</w:t>
            </w:r>
          </w:p>
        </w:tc>
        <w:tc>
          <w:tcPr>
            <w:tcW w:w="1214" w:type="dxa"/>
            <w:gridSpan w:val="2"/>
            <w:tcBorders>
              <w:top w:val="nil"/>
              <w:left w:val="nil"/>
              <w:bottom w:val="nil"/>
              <w:right w:val="nil"/>
            </w:tcBorders>
            <w:shd w:val="clear" w:color="auto" w:fill="FFFFFF"/>
            <w:vAlign w:val="bottom"/>
          </w:tcPr>
          <w:p w14:paraId="6B1F63A9" w14:textId="77777777" w:rsidR="00A031A6" w:rsidRDefault="00916FD0">
            <w:pPr>
              <w:jc w:val="right"/>
              <w:rPr>
                <w:color w:val="000000"/>
                <w:sz w:val="14"/>
                <w:szCs w:val="14"/>
              </w:rPr>
            </w:pPr>
            <w:r>
              <w:rPr>
                <w:color w:val="000000"/>
                <w:sz w:val="14"/>
                <w:szCs w:val="14"/>
              </w:rPr>
              <w:t>22,027,358</w:t>
            </w:r>
          </w:p>
        </w:tc>
        <w:tc>
          <w:tcPr>
            <w:tcW w:w="1216" w:type="dxa"/>
            <w:gridSpan w:val="2"/>
            <w:tcBorders>
              <w:top w:val="nil"/>
              <w:left w:val="nil"/>
              <w:bottom w:val="nil"/>
              <w:right w:val="nil"/>
            </w:tcBorders>
            <w:shd w:val="clear" w:color="auto" w:fill="FFFFFF"/>
            <w:vAlign w:val="bottom"/>
          </w:tcPr>
          <w:p w14:paraId="2E3F329F" w14:textId="77777777" w:rsidR="00A031A6" w:rsidRDefault="00916FD0">
            <w:pPr>
              <w:jc w:val="right"/>
              <w:rPr>
                <w:color w:val="000000"/>
                <w:sz w:val="14"/>
                <w:szCs w:val="14"/>
              </w:rPr>
            </w:pPr>
            <w:r>
              <w:rPr>
                <w:color w:val="000000"/>
                <w:sz w:val="14"/>
                <w:szCs w:val="14"/>
              </w:rPr>
              <w:t>30%</w:t>
            </w:r>
          </w:p>
        </w:tc>
        <w:tc>
          <w:tcPr>
            <w:tcW w:w="988" w:type="dxa"/>
            <w:gridSpan w:val="2"/>
            <w:tcBorders>
              <w:top w:val="nil"/>
              <w:left w:val="nil"/>
              <w:bottom w:val="nil"/>
              <w:right w:val="nil"/>
            </w:tcBorders>
            <w:shd w:val="clear" w:color="auto" w:fill="FFFFFF"/>
            <w:vAlign w:val="bottom"/>
          </w:tcPr>
          <w:p w14:paraId="4985CAB6" w14:textId="77777777" w:rsidR="00A031A6" w:rsidRDefault="00916FD0">
            <w:pPr>
              <w:jc w:val="right"/>
              <w:rPr>
                <w:color w:val="000000"/>
                <w:sz w:val="14"/>
                <w:szCs w:val="14"/>
              </w:rPr>
            </w:pPr>
            <w:r>
              <w:rPr>
                <w:color w:val="000000"/>
                <w:sz w:val="14"/>
                <w:szCs w:val="14"/>
              </w:rPr>
              <w:t>104%</w:t>
            </w:r>
          </w:p>
        </w:tc>
        <w:tc>
          <w:tcPr>
            <w:tcW w:w="1426" w:type="dxa"/>
            <w:gridSpan w:val="2"/>
            <w:tcBorders>
              <w:top w:val="nil"/>
              <w:left w:val="nil"/>
              <w:bottom w:val="nil"/>
              <w:right w:val="nil"/>
            </w:tcBorders>
            <w:shd w:val="clear" w:color="auto" w:fill="FFFFFF"/>
            <w:vAlign w:val="bottom"/>
          </w:tcPr>
          <w:p w14:paraId="2CBE96DD" w14:textId="77777777" w:rsidR="00A031A6" w:rsidRDefault="00916FD0">
            <w:pPr>
              <w:jc w:val="right"/>
              <w:rPr>
                <w:color w:val="000000"/>
                <w:sz w:val="14"/>
                <w:szCs w:val="14"/>
              </w:rPr>
            </w:pPr>
            <w:r>
              <w:rPr>
                <w:color w:val="000000"/>
                <w:sz w:val="14"/>
                <w:szCs w:val="14"/>
              </w:rPr>
              <w:t>74,332,672</w:t>
            </w:r>
          </w:p>
        </w:tc>
        <w:tc>
          <w:tcPr>
            <w:tcW w:w="1070" w:type="dxa"/>
            <w:tcBorders>
              <w:top w:val="nil"/>
              <w:left w:val="nil"/>
              <w:bottom w:val="nil"/>
              <w:right w:val="nil"/>
            </w:tcBorders>
            <w:shd w:val="clear" w:color="auto" w:fill="FFFFFF"/>
            <w:vAlign w:val="bottom"/>
          </w:tcPr>
          <w:p w14:paraId="26AE6198" w14:textId="77777777" w:rsidR="00A031A6" w:rsidRDefault="00916FD0">
            <w:pPr>
              <w:jc w:val="right"/>
              <w:rPr>
                <w:color w:val="000000"/>
                <w:sz w:val="14"/>
                <w:szCs w:val="14"/>
              </w:rPr>
            </w:pPr>
            <w:r>
              <w:rPr>
                <w:color w:val="000000"/>
                <w:sz w:val="14"/>
                <w:szCs w:val="14"/>
              </w:rPr>
              <w:t>0%</w:t>
            </w:r>
          </w:p>
        </w:tc>
      </w:tr>
      <w:tr w:rsidR="00A031A6" w14:paraId="75D27701" w14:textId="77777777">
        <w:trPr>
          <w:trHeight w:val="57"/>
        </w:trPr>
        <w:tc>
          <w:tcPr>
            <w:tcW w:w="1560" w:type="dxa"/>
            <w:gridSpan w:val="2"/>
            <w:tcBorders>
              <w:top w:val="nil"/>
              <w:left w:val="nil"/>
              <w:bottom w:val="nil"/>
              <w:right w:val="nil"/>
            </w:tcBorders>
            <w:shd w:val="clear" w:color="auto" w:fill="FFFFFF"/>
            <w:vAlign w:val="bottom"/>
          </w:tcPr>
          <w:p w14:paraId="3C8795F5" w14:textId="77777777"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14:paraId="3890B2AB" w14:textId="77777777" w:rsidR="00A031A6" w:rsidRDefault="00916FD0">
            <w:pPr>
              <w:jc w:val="right"/>
              <w:rPr>
                <w:color w:val="000000"/>
                <w:sz w:val="14"/>
                <w:szCs w:val="14"/>
              </w:rPr>
            </w:pPr>
            <w:r>
              <w:rPr>
                <w:color w:val="000000"/>
                <w:sz w:val="14"/>
                <w:szCs w:val="14"/>
              </w:rPr>
              <w:t>78,536,330</w:t>
            </w:r>
          </w:p>
        </w:tc>
        <w:tc>
          <w:tcPr>
            <w:tcW w:w="1043" w:type="dxa"/>
            <w:gridSpan w:val="2"/>
            <w:tcBorders>
              <w:top w:val="nil"/>
              <w:left w:val="nil"/>
              <w:bottom w:val="nil"/>
              <w:right w:val="nil"/>
            </w:tcBorders>
            <w:shd w:val="clear" w:color="auto" w:fill="FFFFFF"/>
            <w:vAlign w:val="bottom"/>
          </w:tcPr>
          <w:p w14:paraId="22231BB8" w14:textId="77777777" w:rsidR="00A031A6" w:rsidRDefault="00916FD0">
            <w:pPr>
              <w:jc w:val="right"/>
              <w:rPr>
                <w:color w:val="000000"/>
                <w:sz w:val="14"/>
                <w:szCs w:val="14"/>
              </w:rPr>
            </w:pPr>
            <w:r>
              <w:rPr>
                <w:color w:val="000000"/>
                <w:sz w:val="14"/>
                <w:szCs w:val="14"/>
              </w:rPr>
              <w:t>74,332,672</w:t>
            </w:r>
          </w:p>
        </w:tc>
        <w:tc>
          <w:tcPr>
            <w:tcW w:w="967" w:type="dxa"/>
            <w:gridSpan w:val="2"/>
            <w:tcBorders>
              <w:top w:val="nil"/>
              <w:left w:val="nil"/>
              <w:bottom w:val="nil"/>
              <w:right w:val="nil"/>
            </w:tcBorders>
            <w:shd w:val="clear" w:color="auto" w:fill="FFFFFF"/>
            <w:vAlign w:val="bottom"/>
          </w:tcPr>
          <w:p w14:paraId="37EB3444" w14:textId="77777777" w:rsidR="00A031A6" w:rsidRDefault="00916FD0">
            <w:pPr>
              <w:jc w:val="right"/>
              <w:rPr>
                <w:color w:val="000000"/>
                <w:sz w:val="14"/>
                <w:szCs w:val="14"/>
              </w:rPr>
            </w:pPr>
            <w:r>
              <w:rPr>
                <w:color w:val="000000"/>
                <w:sz w:val="14"/>
                <w:szCs w:val="14"/>
              </w:rPr>
              <w:t>13,495,242</w:t>
            </w:r>
          </w:p>
        </w:tc>
        <w:tc>
          <w:tcPr>
            <w:tcW w:w="1510" w:type="dxa"/>
            <w:gridSpan w:val="2"/>
            <w:tcBorders>
              <w:top w:val="nil"/>
              <w:left w:val="nil"/>
              <w:bottom w:val="nil"/>
              <w:right w:val="nil"/>
            </w:tcBorders>
            <w:shd w:val="clear" w:color="auto" w:fill="FFFFFF"/>
            <w:vAlign w:val="bottom"/>
          </w:tcPr>
          <w:p w14:paraId="5540E70C" w14:textId="77777777" w:rsidR="00A031A6" w:rsidRDefault="00916FD0">
            <w:pPr>
              <w:jc w:val="right"/>
              <w:rPr>
                <w:color w:val="000000"/>
                <w:sz w:val="14"/>
                <w:szCs w:val="14"/>
              </w:rPr>
            </w:pPr>
            <w:r>
              <w:rPr>
                <w:color w:val="000000"/>
                <w:sz w:val="14"/>
                <w:szCs w:val="14"/>
              </w:rPr>
              <w:t>6,538,164</w:t>
            </w:r>
          </w:p>
        </w:tc>
        <w:tc>
          <w:tcPr>
            <w:tcW w:w="1254" w:type="dxa"/>
            <w:gridSpan w:val="2"/>
            <w:tcBorders>
              <w:top w:val="nil"/>
              <w:left w:val="nil"/>
              <w:bottom w:val="nil"/>
              <w:right w:val="nil"/>
            </w:tcBorders>
            <w:shd w:val="clear" w:color="auto" w:fill="FFFFFF"/>
            <w:vAlign w:val="bottom"/>
          </w:tcPr>
          <w:p w14:paraId="35ECA91A" w14:textId="77777777" w:rsidR="00A031A6" w:rsidRDefault="00916FD0">
            <w:pPr>
              <w:jc w:val="right"/>
              <w:rPr>
                <w:color w:val="000000"/>
                <w:sz w:val="14"/>
                <w:szCs w:val="14"/>
              </w:rPr>
            </w:pPr>
            <w:r>
              <w:rPr>
                <w:color w:val="000000"/>
                <w:sz w:val="14"/>
                <w:szCs w:val="14"/>
              </w:rPr>
              <w:t>2,753,420</w:t>
            </w:r>
          </w:p>
        </w:tc>
        <w:tc>
          <w:tcPr>
            <w:tcW w:w="995" w:type="dxa"/>
            <w:tcBorders>
              <w:top w:val="nil"/>
              <w:left w:val="nil"/>
              <w:bottom w:val="nil"/>
              <w:right w:val="nil"/>
            </w:tcBorders>
            <w:shd w:val="clear" w:color="auto" w:fill="FFFFFF"/>
            <w:vAlign w:val="bottom"/>
          </w:tcPr>
          <w:p w14:paraId="532019F2" w14:textId="77777777" w:rsidR="00A031A6" w:rsidRDefault="00916FD0">
            <w:pPr>
              <w:jc w:val="right"/>
              <w:rPr>
                <w:color w:val="000000"/>
                <w:sz w:val="14"/>
                <w:szCs w:val="14"/>
              </w:rPr>
            </w:pPr>
            <w:r>
              <w:rPr>
                <w:color w:val="000000"/>
                <w:sz w:val="14"/>
                <w:szCs w:val="14"/>
              </w:rPr>
              <w:t>45,767,150</w:t>
            </w:r>
          </w:p>
        </w:tc>
        <w:tc>
          <w:tcPr>
            <w:tcW w:w="986" w:type="dxa"/>
            <w:gridSpan w:val="2"/>
            <w:tcBorders>
              <w:top w:val="nil"/>
              <w:left w:val="nil"/>
              <w:bottom w:val="nil"/>
              <w:right w:val="nil"/>
            </w:tcBorders>
            <w:shd w:val="clear" w:color="auto" w:fill="FFFFFF"/>
            <w:vAlign w:val="bottom"/>
          </w:tcPr>
          <w:p w14:paraId="1190280B" w14:textId="77777777" w:rsidR="00A031A6" w:rsidRDefault="00916FD0">
            <w:pPr>
              <w:jc w:val="right"/>
              <w:rPr>
                <w:color w:val="000000"/>
                <w:sz w:val="14"/>
                <w:szCs w:val="14"/>
              </w:rPr>
            </w:pPr>
            <w:r>
              <w:rPr>
                <w:color w:val="000000"/>
                <w:sz w:val="14"/>
                <w:szCs w:val="14"/>
              </w:rPr>
              <w:t>58%</w:t>
            </w:r>
          </w:p>
        </w:tc>
        <w:tc>
          <w:tcPr>
            <w:tcW w:w="1214" w:type="dxa"/>
            <w:gridSpan w:val="2"/>
            <w:tcBorders>
              <w:top w:val="nil"/>
              <w:left w:val="nil"/>
              <w:bottom w:val="nil"/>
              <w:right w:val="nil"/>
            </w:tcBorders>
            <w:shd w:val="clear" w:color="auto" w:fill="FFFFFF"/>
            <w:vAlign w:val="bottom"/>
          </w:tcPr>
          <w:p w14:paraId="625CDA47" w14:textId="77777777" w:rsidR="00A031A6" w:rsidRDefault="00916FD0">
            <w:pPr>
              <w:jc w:val="right"/>
              <w:rPr>
                <w:color w:val="000000"/>
                <w:sz w:val="14"/>
                <w:szCs w:val="14"/>
              </w:rPr>
            </w:pPr>
            <w:r>
              <w:rPr>
                <w:color w:val="000000"/>
                <w:sz w:val="14"/>
                <w:szCs w:val="14"/>
              </w:rPr>
              <w:t>32,769,180</w:t>
            </w:r>
          </w:p>
        </w:tc>
        <w:tc>
          <w:tcPr>
            <w:tcW w:w="1216" w:type="dxa"/>
            <w:gridSpan w:val="2"/>
            <w:tcBorders>
              <w:top w:val="nil"/>
              <w:left w:val="nil"/>
              <w:bottom w:val="nil"/>
              <w:right w:val="nil"/>
            </w:tcBorders>
            <w:shd w:val="clear" w:color="auto" w:fill="FFFFFF"/>
            <w:vAlign w:val="bottom"/>
          </w:tcPr>
          <w:p w14:paraId="1F2EBD0C" w14:textId="77777777" w:rsidR="00A031A6" w:rsidRDefault="00916FD0">
            <w:pPr>
              <w:jc w:val="right"/>
              <w:rPr>
                <w:color w:val="000000"/>
                <w:sz w:val="14"/>
                <w:szCs w:val="14"/>
              </w:rPr>
            </w:pPr>
            <w:r>
              <w:rPr>
                <w:color w:val="000000"/>
                <w:sz w:val="14"/>
                <w:szCs w:val="14"/>
              </w:rPr>
              <w:t>42%</w:t>
            </w:r>
          </w:p>
        </w:tc>
        <w:tc>
          <w:tcPr>
            <w:tcW w:w="988" w:type="dxa"/>
            <w:gridSpan w:val="2"/>
            <w:tcBorders>
              <w:top w:val="nil"/>
              <w:left w:val="nil"/>
              <w:bottom w:val="nil"/>
              <w:right w:val="nil"/>
            </w:tcBorders>
            <w:shd w:val="clear" w:color="auto" w:fill="FFFFFF"/>
            <w:vAlign w:val="bottom"/>
          </w:tcPr>
          <w:p w14:paraId="5F17345F" w14:textId="77777777" w:rsidR="00A031A6" w:rsidRDefault="00916FD0">
            <w:pPr>
              <w:jc w:val="right"/>
              <w:rPr>
                <w:color w:val="000000"/>
                <w:sz w:val="14"/>
                <w:szCs w:val="14"/>
              </w:rPr>
            </w:pPr>
            <w:r>
              <w:rPr>
                <w:color w:val="000000"/>
                <w:sz w:val="14"/>
                <w:szCs w:val="14"/>
              </w:rPr>
              <w:t>109%</w:t>
            </w:r>
          </w:p>
        </w:tc>
        <w:tc>
          <w:tcPr>
            <w:tcW w:w="1426" w:type="dxa"/>
            <w:gridSpan w:val="2"/>
            <w:tcBorders>
              <w:top w:val="nil"/>
              <w:left w:val="nil"/>
              <w:bottom w:val="nil"/>
              <w:right w:val="nil"/>
            </w:tcBorders>
            <w:shd w:val="clear" w:color="auto" w:fill="FFFFFF"/>
            <w:vAlign w:val="bottom"/>
          </w:tcPr>
          <w:p w14:paraId="18411780" w14:textId="77777777" w:rsidR="00A031A6" w:rsidRDefault="00916FD0">
            <w:pPr>
              <w:jc w:val="right"/>
              <w:rPr>
                <w:color w:val="000000"/>
                <w:sz w:val="14"/>
                <w:szCs w:val="14"/>
              </w:rPr>
            </w:pPr>
            <w:r>
              <w:rPr>
                <w:color w:val="000000"/>
                <w:sz w:val="14"/>
                <w:szCs w:val="14"/>
              </w:rPr>
              <w:t>78,536,330</w:t>
            </w:r>
          </w:p>
        </w:tc>
        <w:tc>
          <w:tcPr>
            <w:tcW w:w="1070" w:type="dxa"/>
            <w:tcBorders>
              <w:top w:val="nil"/>
              <w:left w:val="nil"/>
              <w:bottom w:val="nil"/>
              <w:right w:val="nil"/>
            </w:tcBorders>
            <w:shd w:val="clear" w:color="auto" w:fill="FFFFFF"/>
            <w:vAlign w:val="bottom"/>
          </w:tcPr>
          <w:p w14:paraId="142F4E10" w14:textId="77777777" w:rsidR="00A031A6" w:rsidRDefault="00916FD0">
            <w:pPr>
              <w:jc w:val="right"/>
              <w:rPr>
                <w:color w:val="000000"/>
                <w:sz w:val="14"/>
                <w:szCs w:val="14"/>
              </w:rPr>
            </w:pPr>
            <w:r>
              <w:rPr>
                <w:color w:val="000000"/>
                <w:sz w:val="14"/>
                <w:szCs w:val="14"/>
              </w:rPr>
              <w:t>0%</w:t>
            </w:r>
          </w:p>
        </w:tc>
      </w:tr>
      <w:tr w:rsidR="00A031A6" w14:paraId="4F5450C7" w14:textId="77777777">
        <w:trPr>
          <w:trHeight w:val="57"/>
        </w:trPr>
        <w:tc>
          <w:tcPr>
            <w:tcW w:w="1560" w:type="dxa"/>
            <w:gridSpan w:val="2"/>
            <w:tcBorders>
              <w:top w:val="nil"/>
              <w:left w:val="nil"/>
              <w:bottom w:val="nil"/>
              <w:right w:val="nil"/>
            </w:tcBorders>
            <w:shd w:val="clear" w:color="auto" w:fill="FFFFFF"/>
            <w:vAlign w:val="bottom"/>
          </w:tcPr>
          <w:p w14:paraId="262C4E3C" w14:textId="77777777"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14:paraId="0CC22ACB" w14:textId="77777777" w:rsidR="00A031A6" w:rsidRDefault="00916FD0">
            <w:pPr>
              <w:jc w:val="right"/>
              <w:rPr>
                <w:color w:val="000000"/>
                <w:sz w:val="14"/>
                <w:szCs w:val="14"/>
              </w:rPr>
            </w:pPr>
            <w:r>
              <w:rPr>
                <w:color w:val="000000"/>
                <w:sz w:val="14"/>
                <w:szCs w:val="14"/>
              </w:rPr>
              <w:t>83,564,055</w:t>
            </w:r>
          </w:p>
        </w:tc>
        <w:tc>
          <w:tcPr>
            <w:tcW w:w="1043" w:type="dxa"/>
            <w:gridSpan w:val="2"/>
            <w:tcBorders>
              <w:top w:val="nil"/>
              <w:left w:val="nil"/>
              <w:bottom w:val="nil"/>
              <w:right w:val="nil"/>
            </w:tcBorders>
            <w:shd w:val="clear" w:color="auto" w:fill="FFFFFF"/>
            <w:vAlign w:val="bottom"/>
          </w:tcPr>
          <w:p w14:paraId="0FF05CCE" w14:textId="77777777" w:rsidR="00A031A6" w:rsidRDefault="00916FD0">
            <w:pPr>
              <w:jc w:val="right"/>
              <w:rPr>
                <w:color w:val="000000"/>
                <w:sz w:val="14"/>
                <w:szCs w:val="14"/>
              </w:rPr>
            </w:pPr>
            <w:r>
              <w:rPr>
                <w:color w:val="000000"/>
                <w:sz w:val="14"/>
                <w:szCs w:val="14"/>
              </w:rPr>
              <w:t>78,536,330</w:t>
            </w:r>
          </w:p>
        </w:tc>
        <w:tc>
          <w:tcPr>
            <w:tcW w:w="967" w:type="dxa"/>
            <w:gridSpan w:val="2"/>
            <w:tcBorders>
              <w:top w:val="nil"/>
              <w:left w:val="nil"/>
              <w:bottom w:val="nil"/>
              <w:right w:val="nil"/>
            </w:tcBorders>
            <w:shd w:val="clear" w:color="auto" w:fill="FFFFFF"/>
            <w:vAlign w:val="bottom"/>
          </w:tcPr>
          <w:p w14:paraId="13250103" w14:textId="77777777" w:rsidR="00A031A6" w:rsidRDefault="00916FD0">
            <w:pPr>
              <w:jc w:val="right"/>
              <w:rPr>
                <w:color w:val="000000"/>
                <w:sz w:val="14"/>
                <w:szCs w:val="14"/>
              </w:rPr>
            </w:pPr>
            <w:r>
              <w:rPr>
                <w:color w:val="000000"/>
                <w:sz w:val="14"/>
                <w:szCs w:val="14"/>
              </w:rPr>
              <w:t>14,844,766</w:t>
            </w:r>
          </w:p>
        </w:tc>
        <w:tc>
          <w:tcPr>
            <w:tcW w:w="1510" w:type="dxa"/>
            <w:gridSpan w:val="2"/>
            <w:tcBorders>
              <w:top w:val="nil"/>
              <w:left w:val="nil"/>
              <w:bottom w:val="nil"/>
              <w:right w:val="nil"/>
            </w:tcBorders>
            <w:shd w:val="clear" w:color="auto" w:fill="FFFFFF"/>
            <w:vAlign w:val="bottom"/>
          </w:tcPr>
          <w:p w14:paraId="0DA49015" w14:textId="77777777" w:rsidR="00A031A6" w:rsidRDefault="00916FD0">
            <w:pPr>
              <w:jc w:val="right"/>
              <w:rPr>
                <w:color w:val="000000"/>
                <w:sz w:val="14"/>
                <w:szCs w:val="14"/>
              </w:rPr>
            </w:pPr>
            <w:r>
              <w:rPr>
                <w:color w:val="000000"/>
                <w:sz w:val="14"/>
                <w:szCs w:val="14"/>
              </w:rPr>
              <w:t>5,720,894</w:t>
            </w:r>
          </w:p>
        </w:tc>
        <w:tc>
          <w:tcPr>
            <w:tcW w:w="1254" w:type="dxa"/>
            <w:gridSpan w:val="2"/>
            <w:tcBorders>
              <w:top w:val="nil"/>
              <w:left w:val="nil"/>
              <w:bottom w:val="nil"/>
              <w:right w:val="nil"/>
            </w:tcBorders>
            <w:shd w:val="clear" w:color="auto" w:fill="FFFFFF"/>
            <w:vAlign w:val="bottom"/>
          </w:tcPr>
          <w:p w14:paraId="7D382DBF" w14:textId="77777777" w:rsidR="00A031A6" w:rsidRDefault="00916FD0">
            <w:pPr>
              <w:jc w:val="right"/>
              <w:rPr>
                <w:color w:val="000000"/>
                <w:sz w:val="14"/>
                <w:szCs w:val="14"/>
              </w:rPr>
            </w:pPr>
            <w:r>
              <w:rPr>
                <w:color w:val="000000"/>
                <w:sz w:val="14"/>
                <w:szCs w:val="14"/>
              </w:rPr>
              <w:t>4,096,148</w:t>
            </w:r>
          </w:p>
        </w:tc>
        <w:tc>
          <w:tcPr>
            <w:tcW w:w="995" w:type="dxa"/>
            <w:tcBorders>
              <w:top w:val="nil"/>
              <w:left w:val="nil"/>
              <w:bottom w:val="nil"/>
              <w:right w:val="nil"/>
            </w:tcBorders>
            <w:shd w:val="clear" w:color="auto" w:fill="FFFFFF"/>
            <w:vAlign w:val="bottom"/>
          </w:tcPr>
          <w:p w14:paraId="6F3FFA76" w14:textId="77777777" w:rsidR="00A031A6" w:rsidRDefault="00916FD0">
            <w:pPr>
              <w:jc w:val="right"/>
              <w:rPr>
                <w:color w:val="000000"/>
                <w:sz w:val="14"/>
                <w:szCs w:val="14"/>
              </w:rPr>
            </w:pPr>
            <w:r>
              <w:rPr>
                <w:color w:val="000000"/>
                <w:sz w:val="14"/>
                <w:szCs w:val="14"/>
              </w:rPr>
              <w:t>40,046,256</w:t>
            </w:r>
          </w:p>
        </w:tc>
        <w:tc>
          <w:tcPr>
            <w:tcW w:w="986" w:type="dxa"/>
            <w:gridSpan w:val="2"/>
            <w:tcBorders>
              <w:top w:val="nil"/>
              <w:left w:val="nil"/>
              <w:bottom w:val="nil"/>
              <w:right w:val="nil"/>
            </w:tcBorders>
            <w:shd w:val="clear" w:color="auto" w:fill="FFFFFF"/>
            <w:vAlign w:val="bottom"/>
          </w:tcPr>
          <w:p w14:paraId="0478674C" w14:textId="77777777" w:rsidR="00A031A6" w:rsidRDefault="00916FD0">
            <w:pPr>
              <w:jc w:val="right"/>
              <w:rPr>
                <w:color w:val="000000"/>
                <w:sz w:val="14"/>
                <w:szCs w:val="14"/>
              </w:rPr>
            </w:pPr>
            <w:r>
              <w:rPr>
                <w:color w:val="000000"/>
                <w:sz w:val="14"/>
                <w:szCs w:val="14"/>
              </w:rPr>
              <w:t>48%</w:t>
            </w:r>
          </w:p>
        </w:tc>
        <w:tc>
          <w:tcPr>
            <w:tcW w:w="1214" w:type="dxa"/>
            <w:gridSpan w:val="2"/>
            <w:tcBorders>
              <w:top w:val="nil"/>
              <w:left w:val="nil"/>
              <w:bottom w:val="nil"/>
              <w:right w:val="nil"/>
            </w:tcBorders>
            <w:shd w:val="clear" w:color="auto" w:fill="FFFFFF"/>
            <w:vAlign w:val="bottom"/>
          </w:tcPr>
          <w:p w14:paraId="1A1F8DC7" w14:textId="77777777" w:rsidR="00A031A6" w:rsidRDefault="00916FD0">
            <w:pPr>
              <w:jc w:val="right"/>
              <w:rPr>
                <w:color w:val="000000"/>
                <w:sz w:val="14"/>
                <w:szCs w:val="14"/>
              </w:rPr>
            </w:pPr>
            <w:r>
              <w:rPr>
                <w:color w:val="000000"/>
                <w:sz w:val="14"/>
                <w:szCs w:val="14"/>
              </w:rPr>
              <w:t>43,517,799</w:t>
            </w:r>
          </w:p>
        </w:tc>
        <w:tc>
          <w:tcPr>
            <w:tcW w:w="1216" w:type="dxa"/>
            <w:gridSpan w:val="2"/>
            <w:tcBorders>
              <w:top w:val="nil"/>
              <w:left w:val="nil"/>
              <w:bottom w:val="nil"/>
              <w:right w:val="nil"/>
            </w:tcBorders>
            <w:shd w:val="clear" w:color="auto" w:fill="FFFFFF"/>
            <w:vAlign w:val="bottom"/>
          </w:tcPr>
          <w:p w14:paraId="478EC37D" w14:textId="77777777" w:rsidR="00A031A6" w:rsidRDefault="00916FD0">
            <w:pPr>
              <w:jc w:val="right"/>
              <w:rPr>
                <w:color w:val="000000"/>
                <w:sz w:val="14"/>
                <w:szCs w:val="14"/>
              </w:rPr>
            </w:pPr>
            <w:r>
              <w:rPr>
                <w:color w:val="000000"/>
                <w:sz w:val="14"/>
                <w:szCs w:val="14"/>
              </w:rPr>
              <w:t>52%</w:t>
            </w:r>
          </w:p>
        </w:tc>
        <w:tc>
          <w:tcPr>
            <w:tcW w:w="988" w:type="dxa"/>
            <w:gridSpan w:val="2"/>
            <w:tcBorders>
              <w:top w:val="nil"/>
              <w:left w:val="nil"/>
              <w:bottom w:val="nil"/>
              <w:right w:val="nil"/>
            </w:tcBorders>
            <w:shd w:val="clear" w:color="auto" w:fill="FFFFFF"/>
            <w:vAlign w:val="bottom"/>
          </w:tcPr>
          <w:p w14:paraId="4AEE7517" w14:textId="77777777" w:rsidR="00A031A6" w:rsidRDefault="00916FD0">
            <w:pPr>
              <w:jc w:val="right"/>
              <w:rPr>
                <w:color w:val="000000"/>
                <w:sz w:val="14"/>
                <w:szCs w:val="14"/>
              </w:rPr>
            </w:pPr>
            <w:r>
              <w:rPr>
                <w:color w:val="000000"/>
                <w:sz w:val="14"/>
                <w:szCs w:val="14"/>
              </w:rPr>
              <w:t>115%</w:t>
            </w:r>
          </w:p>
        </w:tc>
        <w:tc>
          <w:tcPr>
            <w:tcW w:w="1426" w:type="dxa"/>
            <w:gridSpan w:val="2"/>
            <w:tcBorders>
              <w:top w:val="nil"/>
              <w:left w:val="nil"/>
              <w:bottom w:val="nil"/>
              <w:right w:val="nil"/>
            </w:tcBorders>
            <w:shd w:val="clear" w:color="auto" w:fill="FFFFFF"/>
            <w:vAlign w:val="bottom"/>
          </w:tcPr>
          <w:p w14:paraId="390ED5AA" w14:textId="77777777" w:rsidR="00A031A6" w:rsidRDefault="00916FD0">
            <w:pPr>
              <w:jc w:val="right"/>
              <w:rPr>
                <w:color w:val="000000"/>
                <w:sz w:val="14"/>
                <w:szCs w:val="14"/>
              </w:rPr>
            </w:pPr>
            <w:r>
              <w:rPr>
                <w:color w:val="000000"/>
                <w:sz w:val="14"/>
                <w:szCs w:val="14"/>
              </w:rPr>
              <w:t>83,564,055</w:t>
            </w:r>
          </w:p>
        </w:tc>
        <w:tc>
          <w:tcPr>
            <w:tcW w:w="1070" w:type="dxa"/>
            <w:tcBorders>
              <w:top w:val="nil"/>
              <w:left w:val="nil"/>
              <w:bottom w:val="nil"/>
              <w:right w:val="nil"/>
            </w:tcBorders>
            <w:shd w:val="clear" w:color="auto" w:fill="FFFFFF"/>
            <w:vAlign w:val="bottom"/>
          </w:tcPr>
          <w:p w14:paraId="09279A3A" w14:textId="77777777" w:rsidR="00A031A6" w:rsidRDefault="00916FD0">
            <w:pPr>
              <w:jc w:val="right"/>
              <w:rPr>
                <w:color w:val="000000"/>
                <w:sz w:val="14"/>
                <w:szCs w:val="14"/>
              </w:rPr>
            </w:pPr>
            <w:r>
              <w:rPr>
                <w:color w:val="000000"/>
                <w:sz w:val="14"/>
                <w:szCs w:val="14"/>
              </w:rPr>
              <w:t>0%</w:t>
            </w:r>
          </w:p>
        </w:tc>
      </w:tr>
      <w:tr w:rsidR="00A031A6" w14:paraId="66FA4A12" w14:textId="77777777">
        <w:trPr>
          <w:trHeight w:val="57"/>
        </w:trPr>
        <w:tc>
          <w:tcPr>
            <w:tcW w:w="1560" w:type="dxa"/>
            <w:gridSpan w:val="2"/>
            <w:tcBorders>
              <w:top w:val="nil"/>
              <w:left w:val="nil"/>
              <w:bottom w:val="nil"/>
              <w:right w:val="nil"/>
            </w:tcBorders>
            <w:shd w:val="clear" w:color="auto" w:fill="FFFFFF"/>
            <w:vAlign w:val="bottom"/>
          </w:tcPr>
          <w:p w14:paraId="70ABB47D" w14:textId="77777777"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14:paraId="06380338" w14:textId="77777777" w:rsidR="00A031A6" w:rsidRDefault="00916FD0">
            <w:pPr>
              <w:jc w:val="right"/>
              <w:rPr>
                <w:color w:val="000000"/>
                <w:sz w:val="14"/>
                <w:szCs w:val="14"/>
              </w:rPr>
            </w:pPr>
            <w:r>
              <w:rPr>
                <w:color w:val="000000"/>
                <w:sz w:val="14"/>
                <w:szCs w:val="14"/>
              </w:rPr>
              <w:t>89,447,791</w:t>
            </w:r>
          </w:p>
        </w:tc>
        <w:tc>
          <w:tcPr>
            <w:tcW w:w="1043" w:type="dxa"/>
            <w:gridSpan w:val="2"/>
            <w:tcBorders>
              <w:top w:val="nil"/>
              <w:left w:val="nil"/>
              <w:bottom w:val="nil"/>
              <w:right w:val="nil"/>
            </w:tcBorders>
            <w:shd w:val="clear" w:color="auto" w:fill="FFFFFF"/>
            <w:vAlign w:val="bottom"/>
          </w:tcPr>
          <w:p w14:paraId="2DE02CB9" w14:textId="77777777" w:rsidR="00A031A6" w:rsidRDefault="00916FD0">
            <w:pPr>
              <w:jc w:val="right"/>
              <w:rPr>
                <w:color w:val="000000"/>
                <w:sz w:val="14"/>
                <w:szCs w:val="14"/>
              </w:rPr>
            </w:pPr>
            <w:r>
              <w:rPr>
                <w:color w:val="000000"/>
                <w:sz w:val="14"/>
                <w:szCs w:val="14"/>
              </w:rPr>
              <w:t>83,564,055</w:t>
            </w:r>
          </w:p>
        </w:tc>
        <w:tc>
          <w:tcPr>
            <w:tcW w:w="967" w:type="dxa"/>
            <w:gridSpan w:val="2"/>
            <w:tcBorders>
              <w:top w:val="nil"/>
              <w:left w:val="nil"/>
              <w:bottom w:val="nil"/>
              <w:right w:val="nil"/>
            </w:tcBorders>
            <w:shd w:val="clear" w:color="auto" w:fill="FFFFFF"/>
            <w:vAlign w:val="bottom"/>
          </w:tcPr>
          <w:p w14:paraId="0C208396" w14:textId="77777777" w:rsidR="00A031A6" w:rsidRDefault="00916FD0">
            <w:pPr>
              <w:jc w:val="right"/>
              <w:rPr>
                <w:color w:val="000000"/>
                <w:sz w:val="14"/>
                <w:szCs w:val="14"/>
              </w:rPr>
            </w:pPr>
            <w:r>
              <w:rPr>
                <w:color w:val="000000"/>
                <w:sz w:val="14"/>
                <w:szCs w:val="14"/>
              </w:rPr>
              <w:t>16,329,243</w:t>
            </w:r>
          </w:p>
        </w:tc>
        <w:tc>
          <w:tcPr>
            <w:tcW w:w="1510" w:type="dxa"/>
            <w:gridSpan w:val="2"/>
            <w:tcBorders>
              <w:top w:val="nil"/>
              <w:left w:val="nil"/>
              <w:bottom w:val="nil"/>
              <w:right w:val="nil"/>
            </w:tcBorders>
            <w:shd w:val="clear" w:color="auto" w:fill="FFFFFF"/>
            <w:vAlign w:val="bottom"/>
          </w:tcPr>
          <w:p w14:paraId="5664C4D1" w14:textId="77777777" w:rsidR="00A031A6" w:rsidRDefault="00916FD0">
            <w:pPr>
              <w:jc w:val="right"/>
              <w:rPr>
                <w:color w:val="000000"/>
                <w:sz w:val="14"/>
                <w:szCs w:val="14"/>
              </w:rPr>
            </w:pPr>
            <w:r>
              <w:rPr>
                <w:color w:val="000000"/>
                <w:sz w:val="14"/>
                <w:szCs w:val="14"/>
              </w:rPr>
              <w:t>5,005,782</w:t>
            </w:r>
          </w:p>
        </w:tc>
        <w:tc>
          <w:tcPr>
            <w:tcW w:w="1254" w:type="dxa"/>
            <w:gridSpan w:val="2"/>
            <w:tcBorders>
              <w:top w:val="nil"/>
              <w:left w:val="nil"/>
              <w:bottom w:val="nil"/>
              <w:right w:val="nil"/>
            </w:tcBorders>
            <w:shd w:val="clear" w:color="auto" w:fill="FFFFFF"/>
            <w:vAlign w:val="bottom"/>
          </w:tcPr>
          <w:p w14:paraId="72DF7005" w14:textId="77777777" w:rsidR="00A031A6" w:rsidRDefault="00916FD0">
            <w:pPr>
              <w:jc w:val="right"/>
              <w:rPr>
                <w:color w:val="000000"/>
                <w:sz w:val="14"/>
                <w:szCs w:val="14"/>
              </w:rPr>
            </w:pPr>
            <w:r>
              <w:rPr>
                <w:color w:val="000000"/>
                <w:sz w:val="14"/>
                <w:szCs w:val="14"/>
              </w:rPr>
              <w:t>5,439,725</w:t>
            </w:r>
          </w:p>
        </w:tc>
        <w:tc>
          <w:tcPr>
            <w:tcW w:w="995" w:type="dxa"/>
            <w:tcBorders>
              <w:top w:val="nil"/>
              <w:left w:val="nil"/>
              <w:bottom w:val="nil"/>
              <w:right w:val="nil"/>
            </w:tcBorders>
            <w:shd w:val="clear" w:color="auto" w:fill="FFFFFF"/>
            <w:vAlign w:val="bottom"/>
          </w:tcPr>
          <w:p w14:paraId="00D977D1" w14:textId="77777777" w:rsidR="00A031A6" w:rsidRDefault="00916FD0">
            <w:pPr>
              <w:jc w:val="right"/>
              <w:rPr>
                <w:color w:val="000000"/>
                <w:sz w:val="14"/>
                <w:szCs w:val="14"/>
              </w:rPr>
            </w:pPr>
            <w:r>
              <w:rPr>
                <w:color w:val="000000"/>
                <w:sz w:val="14"/>
                <w:szCs w:val="14"/>
              </w:rPr>
              <w:t>35,040,474</w:t>
            </w:r>
          </w:p>
        </w:tc>
        <w:tc>
          <w:tcPr>
            <w:tcW w:w="986" w:type="dxa"/>
            <w:gridSpan w:val="2"/>
            <w:tcBorders>
              <w:top w:val="nil"/>
              <w:left w:val="nil"/>
              <w:bottom w:val="nil"/>
              <w:right w:val="nil"/>
            </w:tcBorders>
            <w:shd w:val="clear" w:color="auto" w:fill="FFFFFF"/>
            <w:vAlign w:val="bottom"/>
          </w:tcPr>
          <w:p w14:paraId="31D6341D" w14:textId="77777777" w:rsidR="00A031A6" w:rsidRDefault="00916FD0">
            <w:pPr>
              <w:jc w:val="right"/>
              <w:rPr>
                <w:color w:val="000000"/>
                <w:sz w:val="14"/>
                <w:szCs w:val="14"/>
              </w:rPr>
            </w:pPr>
            <w:r>
              <w:rPr>
                <w:color w:val="000000"/>
                <w:sz w:val="14"/>
                <w:szCs w:val="14"/>
              </w:rPr>
              <w:t>39%</w:t>
            </w:r>
          </w:p>
        </w:tc>
        <w:tc>
          <w:tcPr>
            <w:tcW w:w="1214" w:type="dxa"/>
            <w:gridSpan w:val="2"/>
            <w:tcBorders>
              <w:top w:val="nil"/>
              <w:left w:val="nil"/>
              <w:bottom w:val="nil"/>
              <w:right w:val="nil"/>
            </w:tcBorders>
            <w:shd w:val="clear" w:color="auto" w:fill="FFFFFF"/>
            <w:vAlign w:val="bottom"/>
          </w:tcPr>
          <w:p w14:paraId="019A164E" w14:textId="77777777" w:rsidR="00A031A6" w:rsidRDefault="00916FD0">
            <w:pPr>
              <w:jc w:val="right"/>
              <w:rPr>
                <w:color w:val="000000"/>
                <w:sz w:val="14"/>
                <w:szCs w:val="14"/>
              </w:rPr>
            </w:pPr>
            <w:r>
              <w:rPr>
                <w:color w:val="000000"/>
                <w:sz w:val="14"/>
                <w:szCs w:val="14"/>
              </w:rPr>
              <w:t>54,407,317</w:t>
            </w:r>
          </w:p>
        </w:tc>
        <w:tc>
          <w:tcPr>
            <w:tcW w:w="1216" w:type="dxa"/>
            <w:gridSpan w:val="2"/>
            <w:tcBorders>
              <w:top w:val="nil"/>
              <w:left w:val="nil"/>
              <w:bottom w:val="nil"/>
              <w:right w:val="nil"/>
            </w:tcBorders>
            <w:shd w:val="clear" w:color="auto" w:fill="FFFFFF"/>
            <w:vAlign w:val="bottom"/>
          </w:tcPr>
          <w:p w14:paraId="0F565E2E" w14:textId="77777777" w:rsidR="00A031A6" w:rsidRDefault="00916FD0">
            <w:pPr>
              <w:jc w:val="right"/>
              <w:rPr>
                <w:color w:val="000000"/>
                <w:sz w:val="14"/>
                <w:szCs w:val="14"/>
              </w:rPr>
            </w:pPr>
            <w:r>
              <w:rPr>
                <w:color w:val="000000"/>
                <w:sz w:val="14"/>
                <w:szCs w:val="14"/>
              </w:rPr>
              <w:t>61%</w:t>
            </w:r>
          </w:p>
        </w:tc>
        <w:tc>
          <w:tcPr>
            <w:tcW w:w="988" w:type="dxa"/>
            <w:gridSpan w:val="2"/>
            <w:tcBorders>
              <w:top w:val="nil"/>
              <w:left w:val="nil"/>
              <w:bottom w:val="nil"/>
              <w:right w:val="nil"/>
            </w:tcBorders>
            <w:shd w:val="clear" w:color="auto" w:fill="FFFFFF"/>
            <w:vAlign w:val="bottom"/>
          </w:tcPr>
          <w:p w14:paraId="7F67D081" w14:textId="77777777" w:rsidR="00A031A6" w:rsidRDefault="00916FD0">
            <w:pPr>
              <w:jc w:val="right"/>
              <w:rPr>
                <w:color w:val="000000"/>
                <w:sz w:val="14"/>
                <w:szCs w:val="14"/>
              </w:rPr>
            </w:pPr>
            <w:r>
              <w:rPr>
                <w:color w:val="000000"/>
                <w:sz w:val="14"/>
                <w:szCs w:val="14"/>
              </w:rPr>
              <w:t>122%</w:t>
            </w:r>
          </w:p>
        </w:tc>
        <w:tc>
          <w:tcPr>
            <w:tcW w:w="1426" w:type="dxa"/>
            <w:gridSpan w:val="2"/>
            <w:tcBorders>
              <w:top w:val="nil"/>
              <w:left w:val="nil"/>
              <w:bottom w:val="nil"/>
              <w:right w:val="nil"/>
            </w:tcBorders>
            <w:shd w:val="clear" w:color="auto" w:fill="FFFFFF"/>
            <w:vAlign w:val="bottom"/>
          </w:tcPr>
          <w:p w14:paraId="4CB6E4FD" w14:textId="77777777" w:rsidR="00A031A6" w:rsidRDefault="00916FD0">
            <w:pPr>
              <w:jc w:val="right"/>
              <w:rPr>
                <w:color w:val="000000"/>
                <w:sz w:val="14"/>
                <w:szCs w:val="14"/>
              </w:rPr>
            </w:pPr>
            <w:r>
              <w:rPr>
                <w:color w:val="000000"/>
                <w:sz w:val="14"/>
                <w:szCs w:val="14"/>
              </w:rPr>
              <w:t>88,209,419</w:t>
            </w:r>
          </w:p>
        </w:tc>
        <w:tc>
          <w:tcPr>
            <w:tcW w:w="1070" w:type="dxa"/>
            <w:tcBorders>
              <w:top w:val="nil"/>
              <w:left w:val="nil"/>
              <w:bottom w:val="nil"/>
              <w:right w:val="nil"/>
            </w:tcBorders>
            <w:shd w:val="clear" w:color="auto" w:fill="FFFFFF"/>
            <w:vAlign w:val="bottom"/>
          </w:tcPr>
          <w:p w14:paraId="1F7BAF21" w14:textId="77777777" w:rsidR="00A031A6" w:rsidRDefault="00916FD0">
            <w:pPr>
              <w:jc w:val="right"/>
              <w:rPr>
                <w:color w:val="000000"/>
                <w:sz w:val="14"/>
                <w:szCs w:val="14"/>
              </w:rPr>
            </w:pPr>
            <w:r>
              <w:rPr>
                <w:color w:val="000000"/>
                <w:sz w:val="14"/>
                <w:szCs w:val="14"/>
              </w:rPr>
              <w:t>1%</w:t>
            </w:r>
          </w:p>
        </w:tc>
      </w:tr>
      <w:tr w:rsidR="00A031A6" w14:paraId="30B597D4" w14:textId="77777777">
        <w:trPr>
          <w:trHeight w:val="57"/>
        </w:trPr>
        <w:tc>
          <w:tcPr>
            <w:tcW w:w="1560" w:type="dxa"/>
            <w:gridSpan w:val="2"/>
            <w:tcBorders>
              <w:top w:val="nil"/>
              <w:left w:val="nil"/>
              <w:bottom w:val="nil"/>
              <w:right w:val="nil"/>
            </w:tcBorders>
            <w:shd w:val="clear" w:color="auto" w:fill="FFFFFF"/>
            <w:vAlign w:val="bottom"/>
          </w:tcPr>
          <w:p w14:paraId="2AF88083" w14:textId="77777777"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14:paraId="1A66F19E" w14:textId="77777777" w:rsidR="00A031A6" w:rsidRDefault="00916FD0">
            <w:pPr>
              <w:jc w:val="right"/>
              <w:rPr>
                <w:color w:val="000000"/>
                <w:sz w:val="14"/>
                <w:szCs w:val="14"/>
              </w:rPr>
            </w:pPr>
            <w:r>
              <w:rPr>
                <w:color w:val="000000"/>
                <w:sz w:val="14"/>
                <w:szCs w:val="14"/>
              </w:rPr>
              <w:t>96,228,984</w:t>
            </w:r>
          </w:p>
        </w:tc>
        <w:tc>
          <w:tcPr>
            <w:tcW w:w="1043" w:type="dxa"/>
            <w:gridSpan w:val="2"/>
            <w:tcBorders>
              <w:top w:val="nil"/>
              <w:left w:val="nil"/>
              <w:bottom w:val="nil"/>
              <w:right w:val="nil"/>
            </w:tcBorders>
            <w:shd w:val="clear" w:color="auto" w:fill="FFFFFF"/>
            <w:vAlign w:val="bottom"/>
          </w:tcPr>
          <w:p w14:paraId="7A4FED92" w14:textId="77777777" w:rsidR="00A031A6" w:rsidRDefault="00916FD0">
            <w:pPr>
              <w:jc w:val="right"/>
              <w:rPr>
                <w:color w:val="000000"/>
                <w:sz w:val="14"/>
                <w:szCs w:val="14"/>
              </w:rPr>
            </w:pPr>
            <w:r>
              <w:rPr>
                <w:color w:val="000000"/>
                <w:sz w:val="14"/>
                <w:szCs w:val="14"/>
              </w:rPr>
              <w:t>89,447,791</w:t>
            </w:r>
          </w:p>
        </w:tc>
        <w:tc>
          <w:tcPr>
            <w:tcW w:w="967" w:type="dxa"/>
            <w:gridSpan w:val="2"/>
            <w:tcBorders>
              <w:top w:val="nil"/>
              <w:left w:val="nil"/>
              <w:bottom w:val="nil"/>
              <w:right w:val="nil"/>
            </w:tcBorders>
            <w:shd w:val="clear" w:color="auto" w:fill="FFFFFF"/>
            <w:vAlign w:val="bottom"/>
          </w:tcPr>
          <w:p w14:paraId="6759FC90" w14:textId="77777777" w:rsidR="00A031A6" w:rsidRDefault="00916FD0">
            <w:pPr>
              <w:jc w:val="right"/>
              <w:rPr>
                <w:color w:val="000000"/>
                <w:sz w:val="14"/>
                <w:szCs w:val="14"/>
              </w:rPr>
            </w:pPr>
            <w:r>
              <w:rPr>
                <w:color w:val="000000"/>
                <w:sz w:val="14"/>
                <w:szCs w:val="14"/>
              </w:rPr>
              <w:t>17,962,167</w:t>
            </w:r>
          </w:p>
        </w:tc>
        <w:tc>
          <w:tcPr>
            <w:tcW w:w="1510" w:type="dxa"/>
            <w:gridSpan w:val="2"/>
            <w:tcBorders>
              <w:top w:val="nil"/>
              <w:left w:val="nil"/>
              <w:bottom w:val="nil"/>
              <w:right w:val="nil"/>
            </w:tcBorders>
            <w:shd w:val="clear" w:color="auto" w:fill="FFFFFF"/>
            <w:vAlign w:val="bottom"/>
          </w:tcPr>
          <w:p w14:paraId="023B0A57" w14:textId="77777777" w:rsidR="00A031A6" w:rsidRDefault="00916FD0">
            <w:pPr>
              <w:jc w:val="right"/>
              <w:rPr>
                <w:color w:val="000000"/>
                <w:sz w:val="14"/>
                <w:szCs w:val="14"/>
              </w:rPr>
            </w:pPr>
            <w:r>
              <w:rPr>
                <w:color w:val="000000"/>
                <w:sz w:val="14"/>
                <w:szCs w:val="14"/>
              </w:rPr>
              <w:t>4,380,059</w:t>
            </w:r>
          </w:p>
        </w:tc>
        <w:tc>
          <w:tcPr>
            <w:tcW w:w="1254" w:type="dxa"/>
            <w:gridSpan w:val="2"/>
            <w:tcBorders>
              <w:top w:val="nil"/>
              <w:left w:val="nil"/>
              <w:bottom w:val="nil"/>
              <w:right w:val="nil"/>
            </w:tcBorders>
            <w:shd w:val="clear" w:color="auto" w:fill="FFFFFF"/>
            <w:vAlign w:val="bottom"/>
          </w:tcPr>
          <w:p w14:paraId="2E085FE8" w14:textId="77777777" w:rsidR="00A031A6" w:rsidRDefault="00916FD0">
            <w:pPr>
              <w:jc w:val="right"/>
              <w:rPr>
                <w:color w:val="000000"/>
                <w:sz w:val="14"/>
                <w:szCs w:val="14"/>
              </w:rPr>
            </w:pPr>
            <w:r>
              <w:rPr>
                <w:color w:val="000000"/>
                <w:sz w:val="14"/>
                <w:szCs w:val="14"/>
              </w:rPr>
              <w:t>6,800,915</w:t>
            </w:r>
          </w:p>
        </w:tc>
        <w:tc>
          <w:tcPr>
            <w:tcW w:w="995" w:type="dxa"/>
            <w:tcBorders>
              <w:top w:val="nil"/>
              <w:left w:val="nil"/>
              <w:bottom w:val="nil"/>
              <w:right w:val="nil"/>
            </w:tcBorders>
            <w:shd w:val="clear" w:color="auto" w:fill="FFFFFF"/>
            <w:vAlign w:val="bottom"/>
          </w:tcPr>
          <w:p w14:paraId="125418E2" w14:textId="77777777" w:rsidR="00A031A6" w:rsidRDefault="00916FD0">
            <w:pPr>
              <w:jc w:val="right"/>
              <w:rPr>
                <w:color w:val="000000"/>
                <w:sz w:val="14"/>
                <w:szCs w:val="14"/>
              </w:rPr>
            </w:pPr>
            <w:r>
              <w:rPr>
                <w:color w:val="000000"/>
                <w:sz w:val="14"/>
                <w:szCs w:val="14"/>
              </w:rPr>
              <w:t>30,660,415</w:t>
            </w:r>
          </w:p>
        </w:tc>
        <w:tc>
          <w:tcPr>
            <w:tcW w:w="986" w:type="dxa"/>
            <w:gridSpan w:val="2"/>
            <w:tcBorders>
              <w:top w:val="nil"/>
              <w:left w:val="nil"/>
              <w:bottom w:val="nil"/>
              <w:right w:val="nil"/>
            </w:tcBorders>
            <w:shd w:val="clear" w:color="auto" w:fill="FFFFFF"/>
            <w:vAlign w:val="bottom"/>
          </w:tcPr>
          <w:p w14:paraId="3F4B592A" w14:textId="77777777" w:rsidR="00A031A6" w:rsidRDefault="00916FD0">
            <w:pPr>
              <w:jc w:val="right"/>
              <w:rPr>
                <w:color w:val="000000"/>
                <w:sz w:val="14"/>
                <w:szCs w:val="14"/>
              </w:rPr>
            </w:pPr>
            <w:r>
              <w:rPr>
                <w:color w:val="000000"/>
                <w:sz w:val="14"/>
                <w:szCs w:val="14"/>
              </w:rPr>
              <w:t>32%</w:t>
            </w:r>
          </w:p>
        </w:tc>
        <w:tc>
          <w:tcPr>
            <w:tcW w:w="1214" w:type="dxa"/>
            <w:gridSpan w:val="2"/>
            <w:tcBorders>
              <w:top w:val="nil"/>
              <w:left w:val="nil"/>
              <w:bottom w:val="nil"/>
              <w:right w:val="nil"/>
            </w:tcBorders>
            <w:shd w:val="clear" w:color="auto" w:fill="FFFFFF"/>
            <w:vAlign w:val="bottom"/>
          </w:tcPr>
          <w:p w14:paraId="48A8698A" w14:textId="77777777" w:rsidR="00A031A6" w:rsidRDefault="00916FD0">
            <w:pPr>
              <w:jc w:val="right"/>
              <w:rPr>
                <w:color w:val="000000"/>
                <w:sz w:val="14"/>
                <w:szCs w:val="14"/>
              </w:rPr>
            </w:pPr>
            <w:r>
              <w:rPr>
                <w:color w:val="000000"/>
                <w:sz w:val="14"/>
                <w:szCs w:val="14"/>
              </w:rPr>
              <w:t>65,568,569</w:t>
            </w:r>
          </w:p>
        </w:tc>
        <w:tc>
          <w:tcPr>
            <w:tcW w:w="1216" w:type="dxa"/>
            <w:gridSpan w:val="2"/>
            <w:tcBorders>
              <w:top w:val="nil"/>
              <w:left w:val="nil"/>
              <w:bottom w:val="nil"/>
              <w:right w:val="nil"/>
            </w:tcBorders>
            <w:shd w:val="clear" w:color="auto" w:fill="FFFFFF"/>
            <w:vAlign w:val="bottom"/>
          </w:tcPr>
          <w:p w14:paraId="7FE59F55" w14:textId="77777777" w:rsidR="00A031A6" w:rsidRDefault="00916FD0">
            <w:pPr>
              <w:jc w:val="right"/>
              <w:rPr>
                <w:color w:val="000000"/>
                <w:sz w:val="14"/>
                <w:szCs w:val="14"/>
              </w:rPr>
            </w:pPr>
            <w:r>
              <w:rPr>
                <w:color w:val="000000"/>
                <w:sz w:val="14"/>
                <w:szCs w:val="14"/>
              </w:rPr>
              <w:t>68%</w:t>
            </w:r>
          </w:p>
        </w:tc>
        <w:tc>
          <w:tcPr>
            <w:tcW w:w="988" w:type="dxa"/>
            <w:gridSpan w:val="2"/>
            <w:tcBorders>
              <w:top w:val="nil"/>
              <w:left w:val="nil"/>
              <w:bottom w:val="nil"/>
              <w:right w:val="nil"/>
            </w:tcBorders>
            <w:shd w:val="clear" w:color="auto" w:fill="FFFFFF"/>
            <w:vAlign w:val="bottom"/>
          </w:tcPr>
          <w:p w14:paraId="271E75AB" w14:textId="77777777" w:rsidR="00A031A6" w:rsidRDefault="00916FD0">
            <w:pPr>
              <w:jc w:val="right"/>
              <w:rPr>
                <w:color w:val="000000"/>
                <w:sz w:val="14"/>
                <w:szCs w:val="14"/>
              </w:rPr>
            </w:pPr>
            <w:r>
              <w:rPr>
                <w:color w:val="000000"/>
                <w:sz w:val="14"/>
                <w:szCs w:val="14"/>
              </w:rPr>
              <w:t>130%</w:t>
            </w:r>
          </w:p>
        </w:tc>
        <w:tc>
          <w:tcPr>
            <w:tcW w:w="1426" w:type="dxa"/>
            <w:gridSpan w:val="2"/>
            <w:tcBorders>
              <w:top w:val="nil"/>
              <w:left w:val="nil"/>
              <w:bottom w:val="nil"/>
              <w:right w:val="nil"/>
            </w:tcBorders>
            <w:shd w:val="clear" w:color="auto" w:fill="FFFFFF"/>
            <w:vAlign w:val="bottom"/>
          </w:tcPr>
          <w:p w14:paraId="5694E947" w14:textId="77777777" w:rsidR="00A031A6" w:rsidRDefault="00916FD0">
            <w:pPr>
              <w:jc w:val="right"/>
              <w:rPr>
                <w:color w:val="000000"/>
                <w:sz w:val="14"/>
                <w:szCs w:val="14"/>
              </w:rPr>
            </w:pPr>
            <w:r>
              <w:rPr>
                <w:color w:val="000000"/>
                <w:sz w:val="14"/>
                <w:szCs w:val="14"/>
              </w:rPr>
              <w:t>88,954,943</w:t>
            </w:r>
          </w:p>
        </w:tc>
        <w:tc>
          <w:tcPr>
            <w:tcW w:w="1070" w:type="dxa"/>
            <w:tcBorders>
              <w:top w:val="nil"/>
              <w:left w:val="nil"/>
              <w:bottom w:val="nil"/>
              <w:right w:val="nil"/>
            </w:tcBorders>
            <w:shd w:val="clear" w:color="auto" w:fill="FFFFFF"/>
            <w:vAlign w:val="bottom"/>
          </w:tcPr>
          <w:p w14:paraId="29C61F90" w14:textId="77777777" w:rsidR="00A031A6" w:rsidRDefault="00916FD0">
            <w:pPr>
              <w:jc w:val="right"/>
              <w:rPr>
                <w:color w:val="000000"/>
                <w:sz w:val="14"/>
                <w:szCs w:val="14"/>
              </w:rPr>
            </w:pPr>
            <w:r>
              <w:rPr>
                <w:color w:val="000000"/>
                <w:sz w:val="14"/>
                <w:szCs w:val="14"/>
              </w:rPr>
              <w:t>8%</w:t>
            </w:r>
          </w:p>
        </w:tc>
      </w:tr>
      <w:tr w:rsidR="00A031A6" w14:paraId="0824D6D8" w14:textId="77777777">
        <w:trPr>
          <w:trHeight w:val="57"/>
        </w:trPr>
        <w:tc>
          <w:tcPr>
            <w:tcW w:w="1560" w:type="dxa"/>
            <w:gridSpan w:val="2"/>
            <w:tcBorders>
              <w:top w:val="nil"/>
              <w:left w:val="nil"/>
              <w:bottom w:val="nil"/>
              <w:right w:val="nil"/>
            </w:tcBorders>
            <w:shd w:val="clear" w:color="auto" w:fill="FFFFFF"/>
            <w:vAlign w:val="bottom"/>
          </w:tcPr>
          <w:p w14:paraId="418E628D" w14:textId="77777777"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14:paraId="0E67A074" w14:textId="77777777" w:rsidR="00A031A6" w:rsidRDefault="00916FD0">
            <w:pPr>
              <w:jc w:val="right"/>
              <w:rPr>
                <w:color w:val="000000"/>
                <w:sz w:val="14"/>
                <w:szCs w:val="14"/>
              </w:rPr>
            </w:pPr>
            <w:r>
              <w:rPr>
                <w:color w:val="000000"/>
                <w:sz w:val="14"/>
                <w:szCs w:val="14"/>
              </w:rPr>
              <w:t>103,958,745</w:t>
            </w:r>
          </w:p>
        </w:tc>
        <w:tc>
          <w:tcPr>
            <w:tcW w:w="1043" w:type="dxa"/>
            <w:gridSpan w:val="2"/>
            <w:tcBorders>
              <w:top w:val="nil"/>
              <w:left w:val="nil"/>
              <w:bottom w:val="nil"/>
              <w:right w:val="nil"/>
            </w:tcBorders>
            <w:shd w:val="clear" w:color="auto" w:fill="FFFFFF"/>
            <w:vAlign w:val="bottom"/>
          </w:tcPr>
          <w:p w14:paraId="388344D4" w14:textId="77777777" w:rsidR="00A031A6" w:rsidRDefault="00916FD0">
            <w:pPr>
              <w:jc w:val="right"/>
              <w:rPr>
                <w:color w:val="000000"/>
                <w:sz w:val="14"/>
                <w:szCs w:val="14"/>
              </w:rPr>
            </w:pPr>
            <w:r>
              <w:rPr>
                <w:color w:val="000000"/>
                <w:sz w:val="14"/>
                <w:szCs w:val="14"/>
              </w:rPr>
              <w:t>96,228,984</w:t>
            </w:r>
          </w:p>
        </w:tc>
        <w:tc>
          <w:tcPr>
            <w:tcW w:w="967" w:type="dxa"/>
            <w:gridSpan w:val="2"/>
            <w:tcBorders>
              <w:top w:val="nil"/>
              <w:left w:val="nil"/>
              <w:bottom w:val="nil"/>
              <w:right w:val="nil"/>
            </w:tcBorders>
            <w:shd w:val="clear" w:color="auto" w:fill="FFFFFF"/>
            <w:vAlign w:val="bottom"/>
          </w:tcPr>
          <w:p w14:paraId="1EF445D2" w14:textId="77777777" w:rsidR="00A031A6" w:rsidRDefault="00916FD0">
            <w:pPr>
              <w:jc w:val="right"/>
              <w:rPr>
                <w:color w:val="000000"/>
                <w:sz w:val="14"/>
                <w:szCs w:val="14"/>
              </w:rPr>
            </w:pPr>
            <w:r>
              <w:rPr>
                <w:color w:val="000000"/>
                <w:sz w:val="14"/>
                <w:szCs w:val="14"/>
              </w:rPr>
              <w:t>19,758,384</w:t>
            </w:r>
          </w:p>
        </w:tc>
        <w:tc>
          <w:tcPr>
            <w:tcW w:w="1510" w:type="dxa"/>
            <w:gridSpan w:val="2"/>
            <w:tcBorders>
              <w:top w:val="nil"/>
              <w:left w:val="nil"/>
              <w:bottom w:val="nil"/>
              <w:right w:val="nil"/>
            </w:tcBorders>
            <w:shd w:val="clear" w:color="auto" w:fill="FFFFFF"/>
            <w:vAlign w:val="bottom"/>
          </w:tcPr>
          <w:p w14:paraId="1C2743BC" w14:textId="77777777" w:rsidR="00A031A6" w:rsidRDefault="00916FD0">
            <w:pPr>
              <w:jc w:val="right"/>
              <w:rPr>
                <w:color w:val="000000"/>
                <w:sz w:val="14"/>
                <w:szCs w:val="14"/>
              </w:rPr>
            </w:pPr>
            <w:r>
              <w:rPr>
                <w:color w:val="000000"/>
                <w:sz w:val="14"/>
                <w:szCs w:val="14"/>
              </w:rPr>
              <w:t>3,832,552</w:t>
            </w:r>
          </w:p>
        </w:tc>
        <w:tc>
          <w:tcPr>
            <w:tcW w:w="1254" w:type="dxa"/>
            <w:gridSpan w:val="2"/>
            <w:tcBorders>
              <w:top w:val="nil"/>
              <w:left w:val="nil"/>
              <w:bottom w:val="nil"/>
              <w:right w:val="nil"/>
            </w:tcBorders>
            <w:shd w:val="clear" w:color="auto" w:fill="FFFFFF"/>
            <w:vAlign w:val="bottom"/>
          </w:tcPr>
          <w:p w14:paraId="295E50D9" w14:textId="77777777" w:rsidR="00A031A6" w:rsidRDefault="00916FD0">
            <w:pPr>
              <w:jc w:val="right"/>
              <w:rPr>
                <w:color w:val="000000"/>
                <w:sz w:val="14"/>
                <w:szCs w:val="14"/>
              </w:rPr>
            </w:pPr>
            <w:r>
              <w:rPr>
                <w:color w:val="000000"/>
                <w:sz w:val="14"/>
                <w:szCs w:val="14"/>
              </w:rPr>
              <w:t>8,196,071</w:t>
            </w:r>
          </w:p>
        </w:tc>
        <w:tc>
          <w:tcPr>
            <w:tcW w:w="995" w:type="dxa"/>
            <w:tcBorders>
              <w:top w:val="nil"/>
              <w:left w:val="nil"/>
              <w:bottom w:val="nil"/>
              <w:right w:val="nil"/>
            </w:tcBorders>
            <w:shd w:val="clear" w:color="auto" w:fill="FFFFFF"/>
            <w:vAlign w:val="bottom"/>
          </w:tcPr>
          <w:p w14:paraId="22506E99" w14:textId="77777777" w:rsidR="00A031A6" w:rsidRDefault="00916FD0">
            <w:pPr>
              <w:jc w:val="right"/>
              <w:rPr>
                <w:color w:val="000000"/>
                <w:sz w:val="14"/>
                <w:szCs w:val="14"/>
              </w:rPr>
            </w:pPr>
            <w:r>
              <w:rPr>
                <w:color w:val="000000"/>
                <w:sz w:val="14"/>
                <w:szCs w:val="14"/>
              </w:rPr>
              <w:t>26,827,863</w:t>
            </w:r>
          </w:p>
        </w:tc>
        <w:tc>
          <w:tcPr>
            <w:tcW w:w="986" w:type="dxa"/>
            <w:gridSpan w:val="2"/>
            <w:tcBorders>
              <w:top w:val="nil"/>
              <w:left w:val="nil"/>
              <w:bottom w:val="nil"/>
              <w:right w:val="nil"/>
            </w:tcBorders>
            <w:shd w:val="clear" w:color="auto" w:fill="FFFFFF"/>
            <w:vAlign w:val="bottom"/>
          </w:tcPr>
          <w:p w14:paraId="02AFAE4A" w14:textId="77777777" w:rsidR="00A031A6" w:rsidRDefault="00916FD0">
            <w:pPr>
              <w:jc w:val="right"/>
              <w:rPr>
                <w:color w:val="000000"/>
                <w:sz w:val="14"/>
                <w:szCs w:val="14"/>
              </w:rPr>
            </w:pPr>
            <w:r>
              <w:rPr>
                <w:color w:val="000000"/>
                <w:sz w:val="14"/>
                <w:szCs w:val="14"/>
              </w:rPr>
              <w:t>26%</w:t>
            </w:r>
          </w:p>
        </w:tc>
        <w:tc>
          <w:tcPr>
            <w:tcW w:w="1214" w:type="dxa"/>
            <w:gridSpan w:val="2"/>
            <w:tcBorders>
              <w:top w:val="nil"/>
              <w:left w:val="nil"/>
              <w:bottom w:val="nil"/>
              <w:right w:val="nil"/>
            </w:tcBorders>
            <w:shd w:val="clear" w:color="auto" w:fill="FFFFFF"/>
            <w:vAlign w:val="bottom"/>
          </w:tcPr>
          <w:p w14:paraId="28BE0408" w14:textId="77777777" w:rsidR="00A031A6" w:rsidRDefault="00916FD0">
            <w:pPr>
              <w:jc w:val="right"/>
              <w:rPr>
                <w:color w:val="000000"/>
                <w:sz w:val="14"/>
                <w:szCs w:val="14"/>
              </w:rPr>
            </w:pPr>
            <w:r>
              <w:rPr>
                <w:color w:val="000000"/>
                <w:sz w:val="14"/>
                <w:szCs w:val="14"/>
              </w:rPr>
              <w:t>77,130,882</w:t>
            </w:r>
          </w:p>
        </w:tc>
        <w:tc>
          <w:tcPr>
            <w:tcW w:w="1216" w:type="dxa"/>
            <w:gridSpan w:val="2"/>
            <w:tcBorders>
              <w:top w:val="nil"/>
              <w:left w:val="nil"/>
              <w:bottom w:val="nil"/>
              <w:right w:val="nil"/>
            </w:tcBorders>
            <w:shd w:val="clear" w:color="auto" w:fill="FFFFFF"/>
            <w:vAlign w:val="bottom"/>
          </w:tcPr>
          <w:p w14:paraId="1CAD74C3" w14:textId="77777777" w:rsidR="00A031A6" w:rsidRDefault="00916FD0">
            <w:pPr>
              <w:jc w:val="right"/>
              <w:rPr>
                <w:color w:val="000000"/>
                <w:sz w:val="14"/>
                <w:szCs w:val="14"/>
              </w:rPr>
            </w:pPr>
            <w:r>
              <w:rPr>
                <w:color w:val="000000"/>
                <w:sz w:val="14"/>
                <w:szCs w:val="14"/>
              </w:rPr>
              <w:t>74%</w:t>
            </w:r>
          </w:p>
        </w:tc>
        <w:tc>
          <w:tcPr>
            <w:tcW w:w="988" w:type="dxa"/>
            <w:gridSpan w:val="2"/>
            <w:tcBorders>
              <w:top w:val="nil"/>
              <w:left w:val="nil"/>
              <w:bottom w:val="nil"/>
              <w:right w:val="nil"/>
            </w:tcBorders>
            <w:shd w:val="clear" w:color="auto" w:fill="FFFFFF"/>
            <w:vAlign w:val="bottom"/>
          </w:tcPr>
          <w:p w14:paraId="45651CC1" w14:textId="77777777" w:rsidR="00A031A6" w:rsidRDefault="00916FD0">
            <w:pPr>
              <w:jc w:val="right"/>
              <w:rPr>
                <w:color w:val="000000"/>
                <w:sz w:val="14"/>
                <w:szCs w:val="14"/>
              </w:rPr>
            </w:pPr>
            <w:r>
              <w:rPr>
                <w:color w:val="000000"/>
                <w:sz w:val="14"/>
                <w:szCs w:val="14"/>
              </w:rPr>
              <w:t>139%</w:t>
            </w:r>
          </w:p>
        </w:tc>
        <w:tc>
          <w:tcPr>
            <w:tcW w:w="1426" w:type="dxa"/>
            <w:gridSpan w:val="2"/>
            <w:tcBorders>
              <w:top w:val="nil"/>
              <w:left w:val="nil"/>
              <w:bottom w:val="nil"/>
              <w:right w:val="nil"/>
            </w:tcBorders>
            <w:shd w:val="clear" w:color="auto" w:fill="FFFFFF"/>
            <w:vAlign w:val="bottom"/>
          </w:tcPr>
          <w:p w14:paraId="530CEFA1" w14:textId="77777777" w:rsidR="00A031A6" w:rsidRDefault="00916FD0">
            <w:pPr>
              <w:jc w:val="right"/>
              <w:rPr>
                <w:color w:val="000000"/>
                <w:sz w:val="14"/>
                <w:szCs w:val="14"/>
              </w:rPr>
            </w:pPr>
            <w:r>
              <w:rPr>
                <w:color w:val="000000"/>
                <w:sz w:val="14"/>
                <w:szCs w:val="14"/>
              </w:rPr>
              <w:t>89,700,467</w:t>
            </w:r>
          </w:p>
        </w:tc>
        <w:tc>
          <w:tcPr>
            <w:tcW w:w="1070" w:type="dxa"/>
            <w:tcBorders>
              <w:top w:val="nil"/>
              <w:left w:val="nil"/>
              <w:bottom w:val="nil"/>
              <w:right w:val="nil"/>
            </w:tcBorders>
            <w:shd w:val="clear" w:color="auto" w:fill="FFFFFF"/>
            <w:vAlign w:val="bottom"/>
          </w:tcPr>
          <w:p w14:paraId="3251D353" w14:textId="77777777" w:rsidR="00A031A6" w:rsidRDefault="00916FD0">
            <w:pPr>
              <w:jc w:val="right"/>
              <w:rPr>
                <w:color w:val="000000"/>
                <w:sz w:val="14"/>
                <w:szCs w:val="14"/>
              </w:rPr>
            </w:pPr>
            <w:r>
              <w:rPr>
                <w:color w:val="000000"/>
                <w:sz w:val="14"/>
                <w:szCs w:val="14"/>
              </w:rPr>
              <w:t>14%</w:t>
            </w:r>
          </w:p>
        </w:tc>
      </w:tr>
      <w:tr w:rsidR="00A031A6" w14:paraId="30AD1E79" w14:textId="77777777">
        <w:trPr>
          <w:trHeight w:val="57"/>
        </w:trPr>
        <w:tc>
          <w:tcPr>
            <w:tcW w:w="1560" w:type="dxa"/>
            <w:gridSpan w:val="2"/>
            <w:tcBorders>
              <w:top w:val="nil"/>
              <w:left w:val="nil"/>
              <w:bottom w:val="nil"/>
              <w:right w:val="nil"/>
            </w:tcBorders>
            <w:shd w:val="clear" w:color="auto" w:fill="FFFFFF"/>
            <w:vAlign w:val="bottom"/>
          </w:tcPr>
          <w:p w14:paraId="0852DF15" w14:textId="77777777"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14:paraId="6E44EE76" w14:textId="77777777" w:rsidR="00A031A6" w:rsidRDefault="00916FD0">
            <w:pPr>
              <w:jc w:val="right"/>
              <w:rPr>
                <w:color w:val="000000"/>
                <w:sz w:val="14"/>
                <w:szCs w:val="14"/>
              </w:rPr>
            </w:pPr>
            <w:r>
              <w:rPr>
                <w:color w:val="000000"/>
                <w:sz w:val="14"/>
                <w:szCs w:val="14"/>
              </w:rPr>
              <w:t>112,698,124</w:t>
            </w:r>
          </w:p>
        </w:tc>
        <w:tc>
          <w:tcPr>
            <w:tcW w:w="1043" w:type="dxa"/>
            <w:gridSpan w:val="2"/>
            <w:tcBorders>
              <w:top w:val="nil"/>
              <w:left w:val="nil"/>
              <w:bottom w:val="nil"/>
              <w:right w:val="nil"/>
            </w:tcBorders>
            <w:shd w:val="clear" w:color="auto" w:fill="FFFFFF"/>
            <w:vAlign w:val="bottom"/>
          </w:tcPr>
          <w:p w14:paraId="657D09CB" w14:textId="77777777" w:rsidR="00A031A6" w:rsidRDefault="00916FD0">
            <w:pPr>
              <w:jc w:val="right"/>
              <w:rPr>
                <w:color w:val="000000"/>
                <w:sz w:val="14"/>
                <w:szCs w:val="14"/>
              </w:rPr>
            </w:pPr>
            <w:r>
              <w:rPr>
                <w:color w:val="000000"/>
                <w:sz w:val="14"/>
                <w:szCs w:val="14"/>
              </w:rPr>
              <w:t>103,958,745</w:t>
            </w:r>
          </w:p>
        </w:tc>
        <w:tc>
          <w:tcPr>
            <w:tcW w:w="967" w:type="dxa"/>
            <w:gridSpan w:val="2"/>
            <w:tcBorders>
              <w:top w:val="nil"/>
              <w:left w:val="nil"/>
              <w:bottom w:val="nil"/>
              <w:right w:val="nil"/>
            </w:tcBorders>
            <w:shd w:val="clear" w:color="auto" w:fill="FFFFFF"/>
            <w:vAlign w:val="bottom"/>
          </w:tcPr>
          <w:p w14:paraId="08EDA45D" w14:textId="77777777" w:rsidR="00A031A6" w:rsidRDefault="00916FD0">
            <w:pPr>
              <w:jc w:val="right"/>
              <w:rPr>
                <w:color w:val="000000"/>
                <w:sz w:val="14"/>
                <w:szCs w:val="14"/>
              </w:rPr>
            </w:pPr>
            <w:r>
              <w:rPr>
                <w:color w:val="000000"/>
                <w:sz w:val="14"/>
                <w:szCs w:val="14"/>
              </w:rPr>
              <w:t>21,734,222</w:t>
            </w:r>
          </w:p>
        </w:tc>
        <w:tc>
          <w:tcPr>
            <w:tcW w:w="1510" w:type="dxa"/>
            <w:gridSpan w:val="2"/>
            <w:tcBorders>
              <w:top w:val="nil"/>
              <w:left w:val="nil"/>
              <w:bottom w:val="nil"/>
              <w:right w:val="nil"/>
            </w:tcBorders>
            <w:shd w:val="clear" w:color="auto" w:fill="FFFFFF"/>
            <w:vAlign w:val="bottom"/>
          </w:tcPr>
          <w:p w14:paraId="1FC741AE" w14:textId="77777777" w:rsidR="00A031A6" w:rsidRDefault="00916FD0">
            <w:pPr>
              <w:jc w:val="right"/>
              <w:rPr>
                <w:color w:val="000000"/>
                <w:sz w:val="14"/>
                <w:szCs w:val="14"/>
              </w:rPr>
            </w:pPr>
            <w:r>
              <w:rPr>
                <w:color w:val="000000"/>
                <w:sz w:val="14"/>
                <w:szCs w:val="14"/>
              </w:rPr>
              <w:t>3,353,483</w:t>
            </w:r>
          </w:p>
        </w:tc>
        <w:tc>
          <w:tcPr>
            <w:tcW w:w="1254" w:type="dxa"/>
            <w:gridSpan w:val="2"/>
            <w:tcBorders>
              <w:top w:val="nil"/>
              <w:left w:val="nil"/>
              <w:bottom w:val="nil"/>
              <w:right w:val="nil"/>
            </w:tcBorders>
            <w:shd w:val="clear" w:color="auto" w:fill="FFFFFF"/>
            <w:vAlign w:val="bottom"/>
          </w:tcPr>
          <w:p w14:paraId="3A2F6509" w14:textId="77777777" w:rsidR="00A031A6" w:rsidRDefault="00916FD0">
            <w:pPr>
              <w:jc w:val="right"/>
              <w:rPr>
                <w:color w:val="000000"/>
                <w:sz w:val="14"/>
                <w:szCs w:val="14"/>
              </w:rPr>
            </w:pPr>
            <w:r>
              <w:rPr>
                <w:color w:val="000000"/>
                <w:sz w:val="14"/>
                <w:szCs w:val="14"/>
              </w:rPr>
              <w:t>9,641,360</w:t>
            </w:r>
          </w:p>
        </w:tc>
        <w:tc>
          <w:tcPr>
            <w:tcW w:w="995" w:type="dxa"/>
            <w:tcBorders>
              <w:top w:val="nil"/>
              <w:left w:val="nil"/>
              <w:bottom w:val="nil"/>
              <w:right w:val="nil"/>
            </w:tcBorders>
            <w:shd w:val="clear" w:color="auto" w:fill="FFFFFF"/>
            <w:vAlign w:val="bottom"/>
          </w:tcPr>
          <w:p w14:paraId="4743E648" w14:textId="77777777" w:rsidR="00A031A6" w:rsidRDefault="00916FD0">
            <w:pPr>
              <w:jc w:val="right"/>
              <w:rPr>
                <w:color w:val="000000"/>
                <w:sz w:val="14"/>
                <w:szCs w:val="14"/>
              </w:rPr>
            </w:pPr>
            <w:r>
              <w:rPr>
                <w:color w:val="000000"/>
                <w:sz w:val="14"/>
                <w:szCs w:val="14"/>
              </w:rPr>
              <w:t>23,474,380</w:t>
            </w:r>
          </w:p>
        </w:tc>
        <w:tc>
          <w:tcPr>
            <w:tcW w:w="986" w:type="dxa"/>
            <w:gridSpan w:val="2"/>
            <w:tcBorders>
              <w:top w:val="nil"/>
              <w:left w:val="nil"/>
              <w:bottom w:val="nil"/>
              <w:right w:val="nil"/>
            </w:tcBorders>
            <w:shd w:val="clear" w:color="auto" w:fill="FFFFFF"/>
            <w:vAlign w:val="bottom"/>
          </w:tcPr>
          <w:p w14:paraId="12E63419" w14:textId="77777777" w:rsidR="00A031A6" w:rsidRDefault="00916FD0">
            <w:pPr>
              <w:jc w:val="right"/>
              <w:rPr>
                <w:color w:val="000000"/>
                <w:sz w:val="14"/>
                <w:szCs w:val="14"/>
              </w:rPr>
            </w:pPr>
            <w:r>
              <w:rPr>
                <w:color w:val="000000"/>
                <w:sz w:val="14"/>
                <w:szCs w:val="14"/>
              </w:rPr>
              <w:t>21%</w:t>
            </w:r>
          </w:p>
        </w:tc>
        <w:tc>
          <w:tcPr>
            <w:tcW w:w="1214" w:type="dxa"/>
            <w:gridSpan w:val="2"/>
            <w:tcBorders>
              <w:top w:val="nil"/>
              <w:left w:val="nil"/>
              <w:bottom w:val="nil"/>
              <w:right w:val="nil"/>
            </w:tcBorders>
            <w:shd w:val="clear" w:color="auto" w:fill="FFFFFF"/>
            <w:vAlign w:val="bottom"/>
          </w:tcPr>
          <w:p w14:paraId="246951B0" w14:textId="77777777" w:rsidR="00A031A6" w:rsidRDefault="00916FD0">
            <w:pPr>
              <w:jc w:val="right"/>
              <w:rPr>
                <w:color w:val="000000"/>
                <w:sz w:val="14"/>
                <w:szCs w:val="14"/>
              </w:rPr>
            </w:pPr>
            <w:r>
              <w:rPr>
                <w:color w:val="000000"/>
                <w:sz w:val="14"/>
                <w:szCs w:val="14"/>
              </w:rPr>
              <w:t>89,223,744</w:t>
            </w:r>
          </w:p>
        </w:tc>
        <w:tc>
          <w:tcPr>
            <w:tcW w:w="1216" w:type="dxa"/>
            <w:gridSpan w:val="2"/>
            <w:tcBorders>
              <w:top w:val="nil"/>
              <w:left w:val="nil"/>
              <w:bottom w:val="nil"/>
              <w:right w:val="nil"/>
            </w:tcBorders>
            <w:shd w:val="clear" w:color="auto" w:fill="FFFFFF"/>
            <w:vAlign w:val="bottom"/>
          </w:tcPr>
          <w:p w14:paraId="776FA606" w14:textId="77777777" w:rsidR="00A031A6" w:rsidRDefault="00916FD0">
            <w:pPr>
              <w:jc w:val="right"/>
              <w:rPr>
                <w:color w:val="000000"/>
                <w:sz w:val="14"/>
                <w:szCs w:val="14"/>
              </w:rPr>
            </w:pPr>
            <w:r>
              <w:rPr>
                <w:color w:val="000000"/>
                <w:sz w:val="14"/>
                <w:szCs w:val="14"/>
              </w:rPr>
              <w:t>79%</w:t>
            </w:r>
          </w:p>
        </w:tc>
        <w:tc>
          <w:tcPr>
            <w:tcW w:w="988" w:type="dxa"/>
            <w:gridSpan w:val="2"/>
            <w:tcBorders>
              <w:top w:val="nil"/>
              <w:left w:val="nil"/>
              <w:bottom w:val="nil"/>
              <w:right w:val="nil"/>
            </w:tcBorders>
            <w:shd w:val="clear" w:color="auto" w:fill="FFFFFF"/>
            <w:vAlign w:val="bottom"/>
          </w:tcPr>
          <w:p w14:paraId="11413343" w14:textId="77777777" w:rsidR="00A031A6" w:rsidRDefault="00916FD0">
            <w:pPr>
              <w:jc w:val="right"/>
              <w:rPr>
                <w:color w:val="000000"/>
                <w:sz w:val="14"/>
                <w:szCs w:val="14"/>
              </w:rPr>
            </w:pPr>
            <w:r>
              <w:rPr>
                <w:color w:val="000000"/>
                <w:sz w:val="14"/>
                <w:szCs w:val="14"/>
              </w:rPr>
              <w:t>150%</w:t>
            </w:r>
          </w:p>
        </w:tc>
        <w:tc>
          <w:tcPr>
            <w:tcW w:w="1426" w:type="dxa"/>
            <w:gridSpan w:val="2"/>
            <w:tcBorders>
              <w:top w:val="nil"/>
              <w:left w:val="nil"/>
              <w:bottom w:val="nil"/>
              <w:right w:val="nil"/>
            </w:tcBorders>
            <w:shd w:val="clear" w:color="auto" w:fill="FFFFFF"/>
            <w:vAlign w:val="bottom"/>
          </w:tcPr>
          <w:p w14:paraId="0D584737" w14:textId="77777777" w:rsidR="00A031A6" w:rsidRDefault="00916FD0">
            <w:pPr>
              <w:jc w:val="right"/>
              <w:rPr>
                <w:color w:val="000000"/>
                <w:sz w:val="14"/>
                <w:szCs w:val="14"/>
              </w:rPr>
            </w:pPr>
            <w:r>
              <w:rPr>
                <w:color w:val="000000"/>
                <w:sz w:val="14"/>
                <w:szCs w:val="14"/>
              </w:rPr>
              <w:t>90,445,991</w:t>
            </w:r>
          </w:p>
        </w:tc>
        <w:tc>
          <w:tcPr>
            <w:tcW w:w="1070" w:type="dxa"/>
            <w:tcBorders>
              <w:top w:val="nil"/>
              <w:left w:val="nil"/>
              <w:bottom w:val="nil"/>
              <w:right w:val="nil"/>
            </w:tcBorders>
            <w:shd w:val="clear" w:color="auto" w:fill="FFFFFF"/>
            <w:vAlign w:val="bottom"/>
          </w:tcPr>
          <w:p w14:paraId="0EB0D376" w14:textId="77777777" w:rsidR="00A031A6" w:rsidRDefault="00916FD0">
            <w:pPr>
              <w:jc w:val="right"/>
              <w:rPr>
                <w:color w:val="000000"/>
                <w:sz w:val="14"/>
                <w:szCs w:val="14"/>
              </w:rPr>
            </w:pPr>
            <w:r>
              <w:rPr>
                <w:color w:val="000000"/>
                <w:sz w:val="14"/>
                <w:szCs w:val="14"/>
              </w:rPr>
              <w:t>20%</w:t>
            </w:r>
          </w:p>
        </w:tc>
      </w:tr>
      <w:tr w:rsidR="00A031A6" w14:paraId="37065EEE" w14:textId="77777777">
        <w:trPr>
          <w:trHeight w:val="57"/>
        </w:trPr>
        <w:tc>
          <w:tcPr>
            <w:tcW w:w="1560" w:type="dxa"/>
            <w:gridSpan w:val="2"/>
            <w:tcBorders>
              <w:top w:val="nil"/>
              <w:left w:val="nil"/>
              <w:bottom w:val="nil"/>
              <w:right w:val="nil"/>
            </w:tcBorders>
            <w:shd w:val="clear" w:color="auto" w:fill="FFFFFF"/>
            <w:vAlign w:val="bottom"/>
          </w:tcPr>
          <w:p w14:paraId="7C76E22B" w14:textId="77777777"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14:paraId="77CF8022" w14:textId="77777777" w:rsidR="00A031A6" w:rsidRDefault="00916FD0">
            <w:pPr>
              <w:jc w:val="right"/>
              <w:rPr>
                <w:color w:val="000000"/>
                <w:sz w:val="14"/>
                <w:szCs w:val="14"/>
              </w:rPr>
            </w:pPr>
            <w:r>
              <w:rPr>
                <w:color w:val="000000"/>
                <w:sz w:val="14"/>
                <w:szCs w:val="14"/>
              </w:rPr>
              <w:t>122,518,503</w:t>
            </w:r>
          </w:p>
        </w:tc>
        <w:tc>
          <w:tcPr>
            <w:tcW w:w="1043" w:type="dxa"/>
            <w:gridSpan w:val="2"/>
            <w:tcBorders>
              <w:top w:val="nil"/>
              <w:left w:val="nil"/>
              <w:bottom w:val="nil"/>
              <w:right w:val="nil"/>
            </w:tcBorders>
            <w:shd w:val="clear" w:color="auto" w:fill="FFFFFF"/>
            <w:vAlign w:val="bottom"/>
          </w:tcPr>
          <w:p w14:paraId="6E738392" w14:textId="77777777" w:rsidR="00A031A6" w:rsidRDefault="00916FD0">
            <w:pPr>
              <w:jc w:val="right"/>
              <w:rPr>
                <w:color w:val="000000"/>
                <w:sz w:val="14"/>
                <w:szCs w:val="14"/>
              </w:rPr>
            </w:pPr>
            <w:r>
              <w:rPr>
                <w:color w:val="000000"/>
                <w:sz w:val="14"/>
                <w:szCs w:val="14"/>
              </w:rPr>
              <w:t>112,698,124</w:t>
            </w:r>
          </w:p>
        </w:tc>
        <w:tc>
          <w:tcPr>
            <w:tcW w:w="967" w:type="dxa"/>
            <w:gridSpan w:val="2"/>
            <w:tcBorders>
              <w:top w:val="nil"/>
              <w:left w:val="nil"/>
              <w:bottom w:val="nil"/>
              <w:right w:val="nil"/>
            </w:tcBorders>
            <w:shd w:val="clear" w:color="auto" w:fill="FFFFFF"/>
            <w:vAlign w:val="bottom"/>
          </w:tcPr>
          <w:p w14:paraId="608B758B" w14:textId="77777777" w:rsidR="00A031A6" w:rsidRDefault="00916FD0">
            <w:pPr>
              <w:jc w:val="right"/>
              <w:rPr>
                <w:color w:val="000000"/>
                <w:sz w:val="14"/>
                <w:szCs w:val="14"/>
              </w:rPr>
            </w:pPr>
            <w:r>
              <w:rPr>
                <w:color w:val="000000"/>
                <w:sz w:val="14"/>
                <w:szCs w:val="14"/>
              </w:rPr>
              <w:t>23,907,644</w:t>
            </w:r>
          </w:p>
        </w:tc>
        <w:tc>
          <w:tcPr>
            <w:tcW w:w="1510" w:type="dxa"/>
            <w:gridSpan w:val="2"/>
            <w:tcBorders>
              <w:top w:val="nil"/>
              <w:left w:val="nil"/>
              <w:bottom w:val="nil"/>
              <w:right w:val="nil"/>
            </w:tcBorders>
            <w:shd w:val="clear" w:color="auto" w:fill="FFFFFF"/>
            <w:vAlign w:val="bottom"/>
          </w:tcPr>
          <w:p w14:paraId="612938ED" w14:textId="77777777" w:rsidR="00A031A6" w:rsidRDefault="00916FD0">
            <w:pPr>
              <w:jc w:val="right"/>
              <w:rPr>
                <w:color w:val="000000"/>
                <w:sz w:val="14"/>
                <w:szCs w:val="14"/>
              </w:rPr>
            </w:pPr>
            <w:r>
              <w:rPr>
                <w:color w:val="000000"/>
                <w:sz w:val="14"/>
                <w:szCs w:val="14"/>
              </w:rPr>
              <w:t>2,934,298</w:t>
            </w:r>
          </w:p>
        </w:tc>
        <w:tc>
          <w:tcPr>
            <w:tcW w:w="1254" w:type="dxa"/>
            <w:gridSpan w:val="2"/>
            <w:tcBorders>
              <w:top w:val="nil"/>
              <w:left w:val="nil"/>
              <w:bottom w:val="nil"/>
              <w:right w:val="nil"/>
            </w:tcBorders>
            <w:shd w:val="clear" w:color="auto" w:fill="FFFFFF"/>
            <w:vAlign w:val="bottom"/>
          </w:tcPr>
          <w:p w14:paraId="0579B75D" w14:textId="77777777" w:rsidR="00A031A6" w:rsidRDefault="00916FD0">
            <w:pPr>
              <w:jc w:val="right"/>
              <w:rPr>
                <w:color w:val="000000"/>
                <w:sz w:val="14"/>
                <w:szCs w:val="14"/>
              </w:rPr>
            </w:pPr>
            <w:r>
              <w:rPr>
                <w:color w:val="000000"/>
                <w:sz w:val="14"/>
                <w:szCs w:val="14"/>
              </w:rPr>
              <w:t>11,152,968</w:t>
            </w:r>
          </w:p>
        </w:tc>
        <w:tc>
          <w:tcPr>
            <w:tcW w:w="995" w:type="dxa"/>
            <w:tcBorders>
              <w:top w:val="nil"/>
              <w:left w:val="nil"/>
              <w:bottom w:val="nil"/>
              <w:right w:val="nil"/>
            </w:tcBorders>
            <w:shd w:val="clear" w:color="auto" w:fill="FFFFFF"/>
            <w:vAlign w:val="bottom"/>
          </w:tcPr>
          <w:p w14:paraId="297C2767" w14:textId="77777777" w:rsidR="00A031A6" w:rsidRDefault="00916FD0">
            <w:pPr>
              <w:jc w:val="right"/>
              <w:rPr>
                <w:color w:val="000000"/>
                <w:sz w:val="14"/>
                <w:szCs w:val="14"/>
              </w:rPr>
            </w:pPr>
            <w:r>
              <w:rPr>
                <w:color w:val="000000"/>
                <w:sz w:val="14"/>
                <w:szCs w:val="14"/>
              </w:rPr>
              <w:t>20,540,083</w:t>
            </w:r>
          </w:p>
        </w:tc>
        <w:tc>
          <w:tcPr>
            <w:tcW w:w="986" w:type="dxa"/>
            <w:gridSpan w:val="2"/>
            <w:tcBorders>
              <w:top w:val="nil"/>
              <w:left w:val="nil"/>
              <w:bottom w:val="nil"/>
              <w:right w:val="nil"/>
            </w:tcBorders>
            <w:shd w:val="clear" w:color="auto" w:fill="FFFFFF"/>
            <w:vAlign w:val="bottom"/>
          </w:tcPr>
          <w:p w14:paraId="1B00723D" w14:textId="77777777" w:rsidR="00A031A6" w:rsidRDefault="00916FD0">
            <w:pPr>
              <w:jc w:val="right"/>
              <w:rPr>
                <w:color w:val="000000"/>
                <w:sz w:val="14"/>
                <w:szCs w:val="14"/>
              </w:rPr>
            </w:pPr>
            <w:r>
              <w:rPr>
                <w:color w:val="000000"/>
                <w:sz w:val="14"/>
                <w:szCs w:val="14"/>
              </w:rPr>
              <w:t>17%</w:t>
            </w:r>
          </w:p>
        </w:tc>
        <w:tc>
          <w:tcPr>
            <w:tcW w:w="1214" w:type="dxa"/>
            <w:gridSpan w:val="2"/>
            <w:tcBorders>
              <w:top w:val="nil"/>
              <w:left w:val="nil"/>
              <w:bottom w:val="nil"/>
              <w:right w:val="nil"/>
            </w:tcBorders>
            <w:shd w:val="clear" w:color="auto" w:fill="FFFFFF"/>
            <w:vAlign w:val="bottom"/>
          </w:tcPr>
          <w:p w14:paraId="7B2B3D23" w14:textId="77777777" w:rsidR="00A031A6" w:rsidRDefault="00916FD0">
            <w:pPr>
              <w:jc w:val="right"/>
              <w:rPr>
                <w:color w:val="000000"/>
                <w:sz w:val="14"/>
                <w:szCs w:val="14"/>
              </w:rPr>
            </w:pPr>
            <w:r>
              <w:rPr>
                <w:color w:val="000000"/>
                <w:sz w:val="14"/>
                <w:szCs w:val="14"/>
              </w:rPr>
              <w:t>101,978,420</w:t>
            </w:r>
          </w:p>
        </w:tc>
        <w:tc>
          <w:tcPr>
            <w:tcW w:w="1216" w:type="dxa"/>
            <w:gridSpan w:val="2"/>
            <w:tcBorders>
              <w:top w:val="nil"/>
              <w:left w:val="nil"/>
              <w:bottom w:val="nil"/>
              <w:right w:val="nil"/>
            </w:tcBorders>
            <w:shd w:val="clear" w:color="auto" w:fill="FFFFFF"/>
            <w:vAlign w:val="bottom"/>
          </w:tcPr>
          <w:p w14:paraId="44D563A5" w14:textId="77777777" w:rsidR="00A031A6" w:rsidRDefault="00916FD0">
            <w:pPr>
              <w:jc w:val="right"/>
              <w:rPr>
                <w:color w:val="000000"/>
                <w:sz w:val="14"/>
                <w:szCs w:val="14"/>
              </w:rPr>
            </w:pPr>
            <w:r>
              <w:rPr>
                <w:color w:val="000000"/>
                <w:sz w:val="14"/>
                <w:szCs w:val="14"/>
              </w:rPr>
              <w:t>83%</w:t>
            </w:r>
          </w:p>
        </w:tc>
        <w:tc>
          <w:tcPr>
            <w:tcW w:w="988" w:type="dxa"/>
            <w:gridSpan w:val="2"/>
            <w:tcBorders>
              <w:top w:val="nil"/>
              <w:left w:val="nil"/>
              <w:bottom w:val="nil"/>
              <w:right w:val="nil"/>
            </w:tcBorders>
            <w:shd w:val="clear" w:color="auto" w:fill="FFFFFF"/>
            <w:vAlign w:val="bottom"/>
          </w:tcPr>
          <w:p w14:paraId="495C9B90" w14:textId="77777777" w:rsidR="00A031A6" w:rsidRDefault="00916FD0">
            <w:pPr>
              <w:jc w:val="right"/>
              <w:rPr>
                <w:color w:val="000000"/>
                <w:sz w:val="14"/>
                <w:szCs w:val="14"/>
              </w:rPr>
            </w:pPr>
            <w:r>
              <w:rPr>
                <w:color w:val="000000"/>
                <w:sz w:val="14"/>
                <w:szCs w:val="14"/>
              </w:rPr>
              <w:t>161%</w:t>
            </w:r>
          </w:p>
        </w:tc>
        <w:tc>
          <w:tcPr>
            <w:tcW w:w="1426" w:type="dxa"/>
            <w:gridSpan w:val="2"/>
            <w:tcBorders>
              <w:top w:val="nil"/>
              <w:left w:val="nil"/>
              <w:bottom w:val="nil"/>
              <w:right w:val="nil"/>
            </w:tcBorders>
            <w:shd w:val="clear" w:color="auto" w:fill="FFFFFF"/>
            <w:vAlign w:val="bottom"/>
          </w:tcPr>
          <w:p w14:paraId="00C8CF5D" w14:textId="77777777" w:rsidR="00A031A6" w:rsidRDefault="00916FD0">
            <w:pPr>
              <w:jc w:val="right"/>
              <w:rPr>
                <w:color w:val="000000"/>
                <w:sz w:val="14"/>
                <w:szCs w:val="14"/>
              </w:rPr>
            </w:pPr>
            <w:r>
              <w:rPr>
                <w:color w:val="000000"/>
                <w:sz w:val="14"/>
                <w:szCs w:val="14"/>
              </w:rPr>
              <w:t>91,191,515</w:t>
            </w:r>
          </w:p>
        </w:tc>
        <w:tc>
          <w:tcPr>
            <w:tcW w:w="1070" w:type="dxa"/>
            <w:tcBorders>
              <w:top w:val="nil"/>
              <w:left w:val="nil"/>
              <w:bottom w:val="nil"/>
              <w:right w:val="nil"/>
            </w:tcBorders>
            <w:shd w:val="clear" w:color="auto" w:fill="FFFFFF"/>
            <w:vAlign w:val="bottom"/>
          </w:tcPr>
          <w:p w14:paraId="32C7D36A" w14:textId="77777777" w:rsidR="00A031A6" w:rsidRDefault="00916FD0">
            <w:pPr>
              <w:jc w:val="right"/>
              <w:rPr>
                <w:color w:val="000000"/>
                <w:sz w:val="14"/>
                <w:szCs w:val="14"/>
              </w:rPr>
            </w:pPr>
            <w:r>
              <w:rPr>
                <w:color w:val="000000"/>
                <w:sz w:val="14"/>
                <w:szCs w:val="14"/>
              </w:rPr>
              <w:t>26%</w:t>
            </w:r>
          </w:p>
        </w:tc>
      </w:tr>
      <w:tr w:rsidR="00A031A6" w14:paraId="791EBA4F" w14:textId="77777777">
        <w:trPr>
          <w:trHeight w:val="57"/>
        </w:trPr>
        <w:tc>
          <w:tcPr>
            <w:tcW w:w="1560" w:type="dxa"/>
            <w:gridSpan w:val="2"/>
            <w:tcBorders>
              <w:top w:val="nil"/>
              <w:left w:val="nil"/>
              <w:bottom w:val="nil"/>
              <w:right w:val="nil"/>
            </w:tcBorders>
            <w:vAlign w:val="bottom"/>
          </w:tcPr>
          <w:p w14:paraId="0A749224" w14:textId="77777777"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14:paraId="35171764" w14:textId="77777777"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14:paraId="51E92687"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14:paraId="7877E2A7"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14:paraId="2A3F2A2A" w14:textId="77777777"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14:paraId="54414CB9" w14:textId="77777777"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14:paraId="68292946" w14:textId="77777777"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14:paraId="0E215AFE" w14:textId="77777777"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14:paraId="30AC7FB7" w14:textId="77777777"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14:paraId="64AC6738" w14:textId="77777777"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14:paraId="4500C415" w14:textId="77777777"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14:paraId="496F3351" w14:textId="77777777"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14:paraId="4A109486" w14:textId="77777777" w:rsidR="00A031A6" w:rsidRDefault="00A031A6">
            <w:pPr>
              <w:jc w:val="right"/>
              <w:rPr>
                <w:color w:val="000000"/>
                <w:sz w:val="14"/>
                <w:szCs w:val="14"/>
              </w:rPr>
            </w:pPr>
          </w:p>
        </w:tc>
      </w:tr>
      <w:tr w:rsidR="00A031A6" w14:paraId="23CD2580" w14:textId="77777777">
        <w:trPr>
          <w:trHeight w:val="57"/>
        </w:trPr>
        <w:tc>
          <w:tcPr>
            <w:tcW w:w="1560" w:type="dxa"/>
            <w:gridSpan w:val="2"/>
            <w:tcBorders>
              <w:top w:val="nil"/>
              <w:left w:val="nil"/>
              <w:bottom w:val="nil"/>
              <w:right w:val="nil"/>
            </w:tcBorders>
            <w:shd w:val="clear" w:color="auto" w:fill="808080"/>
            <w:vAlign w:val="bottom"/>
          </w:tcPr>
          <w:p w14:paraId="2ADE5C8A" w14:textId="77777777" w:rsidR="00A031A6" w:rsidRDefault="00916FD0">
            <w:pPr>
              <w:rPr>
                <w:b/>
                <w:color w:val="FFFFFF"/>
                <w:sz w:val="14"/>
                <w:szCs w:val="14"/>
              </w:rPr>
            </w:pPr>
            <w:r>
              <w:rPr>
                <w:b/>
                <w:color w:val="FFFFFF"/>
                <w:sz w:val="14"/>
                <w:szCs w:val="14"/>
              </w:rPr>
              <w:t>Washing Machine</w:t>
            </w:r>
          </w:p>
        </w:tc>
        <w:tc>
          <w:tcPr>
            <w:tcW w:w="1169" w:type="dxa"/>
            <w:tcBorders>
              <w:top w:val="nil"/>
              <w:left w:val="nil"/>
              <w:bottom w:val="nil"/>
              <w:right w:val="nil"/>
            </w:tcBorders>
            <w:shd w:val="clear" w:color="auto" w:fill="808080"/>
            <w:vAlign w:val="bottom"/>
          </w:tcPr>
          <w:p w14:paraId="2F90ED14" w14:textId="77777777"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14:paraId="65E3F506" w14:textId="77777777"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14:paraId="753BE26F"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156AB4D0" w14:textId="77777777"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14:paraId="39A74609" w14:textId="77777777"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14:paraId="6136A321" w14:textId="77777777" w:rsidR="00A031A6" w:rsidRDefault="00916FD0">
            <w:pPr>
              <w:rPr>
                <w:b/>
                <w:color w:val="FFFFFF"/>
                <w:sz w:val="14"/>
                <w:szCs w:val="14"/>
              </w:rPr>
            </w:pPr>
            <w:r>
              <w:rPr>
                <w:b/>
                <w:color w:val="FFFFFF"/>
                <w:sz w:val="14"/>
                <w:szCs w:val="14"/>
              </w:rPr>
              <w:t>Existing</w:t>
            </w:r>
          </w:p>
        </w:tc>
        <w:tc>
          <w:tcPr>
            <w:tcW w:w="986" w:type="dxa"/>
            <w:gridSpan w:val="2"/>
            <w:tcBorders>
              <w:top w:val="nil"/>
              <w:left w:val="nil"/>
              <w:bottom w:val="nil"/>
              <w:right w:val="nil"/>
            </w:tcBorders>
            <w:shd w:val="clear" w:color="auto" w:fill="808080"/>
            <w:vAlign w:val="bottom"/>
          </w:tcPr>
          <w:p w14:paraId="081D1D5B" w14:textId="77777777"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14:paraId="5FFBE2E8" w14:textId="77777777"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14:paraId="5D3CB69F" w14:textId="77777777"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14:paraId="7D36D184" w14:textId="77777777"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14:paraId="3B10BA67" w14:textId="77777777"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14:paraId="0BCBC83B" w14:textId="77777777" w:rsidR="00A031A6" w:rsidRDefault="00916FD0">
            <w:pPr>
              <w:rPr>
                <w:b/>
                <w:color w:val="FFFFFF"/>
                <w:sz w:val="14"/>
                <w:szCs w:val="14"/>
              </w:rPr>
            </w:pPr>
            <w:r>
              <w:rPr>
                <w:b/>
                <w:color w:val="FFFFFF"/>
                <w:sz w:val="14"/>
                <w:szCs w:val="14"/>
              </w:rPr>
              <w:t>Replacement</w:t>
            </w:r>
          </w:p>
        </w:tc>
      </w:tr>
      <w:tr w:rsidR="00A031A6" w14:paraId="1106C9FC" w14:textId="77777777">
        <w:trPr>
          <w:trHeight w:val="57"/>
        </w:trPr>
        <w:tc>
          <w:tcPr>
            <w:tcW w:w="1560" w:type="dxa"/>
            <w:gridSpan w:val="2"/>
            <w:tcBorders>
              <w:top w:val="nil"/>
              <w:left w:val="nil"/>
              <w:bottom w:val="nil"/>
              <w:right w:val="nil"/>
            </w:tcBorders>
            <w:shd w:val="clear" w:color="auto" w:fill="FFFFFF"/>
            <w:vAlign w:val="bottom"/>
          </w:tcPr>
          <w:p w14:paraId="10245D78" w14:textId="77777777"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14:paraId="5E228063" w14:textId="77777777" w:rsidR="00A031A6" w:rsidRDefault="00916FD0">
            <w:pPr>
              <w:jc w:val="right"/>
              <w:rPr>
                <w:color w:val="000000"/>
                <w:sz w:val="14"/>
                <w:szCs w:val="14"/>
              </w:rPr>
            </w:pPr>
            <w:r>
              <w:rPr>
                <w:color w:val="000000"/>
                <w:sz w:val="14"/>
                <w:szCs w:val="14"/>
              </w:rPr>
              <w:t>22,421,874</w:t>
            </w:r>
          </w:p>
        </w:tc>
        <w:tc>
          <w:tcPr>
            <w:tcW w:w="1043" w:type="dxa"/>
            <w:gridSpan w:val="2"/>
            <w:tcBorders>
              <w:top w:val="nil"/>
              <w:left w:val="nil"/>
              <w:bottom w:val="nil"/>
              <w:right w:val="nil"/>
            </w:tcBorders>
            <w:shd w:val="clear" w:color="auto" w:fill="FFFFFF"/>
            <w:vAlign w:val="bottom"/>
          </w:tcPr>
          <w:p w14:paraId="6CA42DDA"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14:paraId="718006DE"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57946A75" w14:textId="77777777"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14:paraId="73C4F56C"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66083827" w14:textId="77777777" w:rsidR="00A031A6" w:rsidRDefault="00916FD0">
            <w:pPr>
              <w:jc w:val="right"/>
              <w:rPr>
                <w:color w:val="000000"/>
                <w:sz w:val="14"/>
                <w:szCs w:val="14"/>
              </w:rPr>
            </w:pPr>
            <w:r>
              <w:rPr>
                <w:color w:val="000000"/>
                <w:sz w:val="14"/>
                <w:szCs w:val="14"/>
              </w:rPr>
              <w:t>22,421,874</w:t>
            </w:r>
          </w:p>
        </w:tc>
        <w:tc>
          <w:tcPr>
            <w:tcW w:w="986" w:type="dxa"/>
            <w:gridSpan w:val="2"/>
            <w:tcBorders>
              <w:top w:val="nil"/>
              <w:left w:val="nil"/>
              <w:bottom w:val="nil"/>
              <w:right w:val="nil"/>
            </w:tcBorders>
            <w:shd w:val="clear" w:color="auto" w:fill="FFFFFF"/>
            <w:vAlign w:val="bottom"/>
          </w:tcPr>
          <w:p w14:paraId="645F1D30"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2FEF9F4B"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16BEC675"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2FD0318C" w14:textId="77777777" w:rsidR="00A031A6" w:rsidRDefault="00916FD0">
            <w:pPr>
              <w:jc w:val="right"/>
              <w:rPr>
                <w:color w:val="000000"/>
                <w:sz w:val="14"/>
                <w:szCs w:val="14"/>
              </w:rPr>
            </w:pPr>
            <w:r>
              <w:rPr>
                <w:color w:val="000000"/>
                <w:sz w:val="14"/>
                <w:szCs w:val="14"/>
              </w:rPr>
              <w:t>33%</w:t>
            </w:r>
          </w:p>
        </w:tc>
        <w:tc>
          <w:tcPr>
            <w:tcW w:w="1426" w:type="dxa"/>
            <w:gridSpan w:val="2"/>
            <w:tcBorders>
              <w:top w:val="nil"/>
              <w:left w:val="nil"/>
              <w:bottom w:val="nil"/>
              <w:right w:val="nil"/>
            </w:tcBorders>
            <w:shd w:val="clear" w:color="auto" w:fill="FFFFFF"/>
            <w:vAlign w:val="bottom"/>
          </w:tcPr>
          <w:p w14:paraId="6109A6CB" w14:textId="77777777" w:rsidR="00A031A6" w:rsidRDefault="00916FD0">
            <w:pPr>
              <w:jc w:val="right"/>
              <w:rPr>
                <w:color w:val="000000"/>
                <w:sz w:val="14"/>
                <w:szCs w:val="14"/>
              </w:rPr>
            </w:pPr>
            <w:r>
              <w:rPr>
                <w:color w:val="000000"/>
                <w:sz w:val="14"/>
                <w:szCs w:val="14"/>
              </w:rPr>
              <w:t>22,421,874</w:t>
            </w:r>
          </w:p>
        </w:tc>
        <w:tc>
          <w:tcPr>
            <w:tcW w:w="1070" w:type="dxa"/>
            <w:tcBorders>
              <w:top w:val="nil"/>
              <w:left w:val="nil"/>
              <w:bottom w:val="nil"/>
              <w:right w:val="nil"/>
            </w:tcBorders>
            <w:shd w:val="clear" w:color="auto" w:fill="FFFFFF"/>
            <w:vAlign w:val="bottom"/>
          </w:tcPr>
          <w:p w14:paraId="4A5098E8" w14:textId="77777777" w:rsidR="00A031A6" w:rsidRDefault="00916FD0">
            <w:pPr>
              <w:jc w:val="right"/>
              <w:rPr>
                <w:color w:val="000000"/>
                <w:sz w:val="14"/>
                <w:szCs w:val="14"/>
              </w:rPr>
            </w:pPr>
            <w:r>
              <w:rPr>
                <w:color w:val="000000"/>
                <w:sz w:val="14"/>
                <w:szCs w:val="14"/>
              </w:rPr>
              <w:t>0%</w:t>
            </w:r>
          </w:p>
        </w:tc>
      </w:tr>
      <w:tr w:rsidR="00A031A6" w14:paraId="6FA89010" w14:textId="77777777">
        <w:trPr>
          <w:trHeight w:val="57"/>
        </w:trPr>
        <w:tc>
          <w:tcPr>
            <w:tcW w:w="1560" w:type="dxa"/>
            <w:gridSpan w:val="2"/>
            <w:tcBorders>
              <w:top w:val="nil"/>
              <w:left w:val="nil"/>
              <w:bottom w:val="nil"/>
              <w:right w:val="nil"/>
            </w:tcBorders>
            <w:shd w:val="clear" w:color="auto" w:fill="FFFFFF"/>
            <w:vAlign w:val="bottom"/>
          </w:tcPr>
          <w:p w14:paraId="4C7F89E2" w14:textId="77777777"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14:paraId="53D98BED" w14:textId="77777777" w:rsidR="00A031A6" w:rsidRDefault="00916FD0">
            <w:pPr>
              <w:jc w:val="right"/>
              <w:rPr>
                <w:color w:val="000000"/>
                <w:sz w:val="14"/>
                <w:szCs w:val="14"/>
              </w:rPr>
            </w:pPr>
            <w:r>
              <w:rPr>
                <w:color w:val="000000"/>
                <w:sz w:val="14"/>
                <w:szCs w:val="14"/>
              </w:rPr>
              <w:t>23,007,082</w:t>
            </w:r>
          </w:p>
        </w:tc>
        <w:tc>
          <w:tcPr>
            <w:tcW w:w="1043" w:type="dxa"/>
            <w:gridSpan w:val="2"/>
            <w:tcBorders>
              <w:top w:val="nil"/>
              <w:left w:val="nil"/>
              <w:bottom w:val="nil"/>
              <w:right w:val="nil"/>
            </w:tcBorders>
            <w:shd w:val="clear" w:color="auto" w:fill="FFFFFF"/>
            <w:vAlign w:val="bottom"/>
          </w:tcPr>
          <w:p w14:paraId="5BD9E15B" w14:textId="77777777" w:rsidR="00A031A6" w:rsidRDefault="00916FD0">
            <w:pPr>
              <w:jc w:val="right"/>
              <w:rPr>
                <w:color w:val="000000"/>
                <w:sz w:val="14"/>
                <w:szCs w:val="14"/>
              </w:rPr>
            </w:pPr>
            <w:r>
              <w:rPr>
                <w:color w:val="000000"/>
                <w:sz w:val="14"/>
                <w:szCs w:val="14"/>
              </w:rPr>
              <w:t>22,421,874</w:t>
            </w:r>
          </w:p>
        </w:tc>
        <w:tc>
          <w:tcPr>
            <w:tcW w:w="967" w:type="dxa"/>
            <w:gridSpan w:val="2"/>
            <w:tcBorders>
              <w:top w:val="nil"/>
              <w:left w:val="nil"/>
              <w:bottom w:val="nil"/>
              <w:right w:val="nil"/>
            </w:tcBorders>
            <w:shd w:val="clear" w:color="auto" w:fill="FFFFFF"/>
            <w:vAlign w:val="bottom"/>
          </w:tcPr>
          <w:p w14:paraId="50A74D3A" w14:textId="77777777" w:rsidR="00A031A6" w:rsidRDefault="00916FD0">
            <w:pPr>
              <w:jc w:val="right"/>
              <w:rPr>
                <w:color w:val="000000"/>
                <w:sz w:val="14"/>
                <w:szCs w:val="14"/>
              </w:rPr>
            </w:pPr>
            <w:r>
              <w:rPr>
                <w:color w:val="000000"/>
                <w:sz w:val="14"/>
                <w:szCs w:val="14"/>
              </w:rPr>
              <w:t>2,080,000</w:t>
            </w:r>
          </w:p>
        </w:tc>
        <w:tc>
          <w:tcPr>
            <w:tcW w:w="1510" w:type="dxa"/>
            <w:gridSpan w:val="2"/>
            <w:tcBorders>
              <w:top w:val="nil"/>
              <w:left w:val="nil"/>
              <w:bottom w:val="nil"/>
              <w:right w:val="nil"/>
            </w:tcBorders>
            <w:shd w:val="clear" w:color="auto" w:fill="FFFFFF"/>
            <w:vAlign w:val="bottom"/>
          </w:tcPr>
          <w:p w14:paraId="3D4A9CDC" w14:textId="77777777" w:rsidR="00A031A6" w:rsidRDefault="00916FD0">
            <w:pPr>
              <w:jc w:val="right"/>
              <w:rPr>
                <w:color w:val="000000"/>
                <w:sz w:val="14"/>
                <w:szCs w:val="14"/>
              </w:rPr>
            </w:pPr>
            <w:r>
              <w:rPr>
                <w:color w:val="000000"/>
                <w:sz w:val="14"/>
                <w:szCs w:val="14"/>
              </w:rPr>
              <w:t>1,494,792</w:t>
            </w:r>
          </w:p>
        </w:tc>
        <w:tc>
          <w:tcPr>
            <w:tcW w:w="1254" w:type="dxa"/>
            <w:gridSpan w:val="2"/>
            <w:tcBorders>
              <w:top w:val="nil"/>
              <w:left w:val="nil"/>
              <w:bottom w:val="nil"/>
              <w:right w:val="nil"/>
            </w:tcBorders>
            <w:shd w:val="clear" w:color="auto" w:fill="FFFFFF"/>
            <w:vAlign w:val="bottom"/>
          </w:tcPr>
          <w:p w14:paraId="72708840"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6227E168" w14:textId="77777777" w:rsidR="00A031A6" w:rsidRDefault="00916FD0">
            <w:pPr>
              <w:jc w:val="right"/>
              <w:rPr>
                <w:color w:val="000000"/>
                <w:sz w:val="14"/>
                <w:szCs w:val="14"/>
              </w:rPr>
            </w:pPr>
            <w:r>
              <w:rPr>
                <w:color w:val="000000"/>
                <w:sz w:val="14"/>
                <w:szCs w:val="14"/>
              </w:rPr>
              <w:t>23,007,082</w:t>
            </w:r>
          </w:p>
        </w:tc>
        <w:tc>
          <w:tcPr>
            <w:tcW w:w="986" w:type="dxa"/>
            <w:gridSpan w:val="2"/>
            <w:tcBorders>
              <w:top w:val="nil"/>
              <w:left w:val="nil"/>
              <w:bottom w:val="nil"/>
              <w:right w:val="nil"/>
            </w:tcBorders>
            <w:shd w:val="clear" w:color="auto" w:fill="FFFFFF"/>
            <w:vAlign w:val="bottom"/>
          </w:tcPr>
          <w:p w14:paraId="2EFF2AD3"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0E1AA48A"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2F270B57"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07EACDD8" w14:textId="77777777" w:rsidR="00A031A6" w:rsidRDefault="00916FD0">
            <w:pPr>
              <w:jc w:val="right"/>
              <w:rPr>
                <w:color w:val="000000"/>
                <w:sz w:val="14"/>
                <w:szCs w:val="14"/>
              </w:rPr>
            </w:pPr>
            <w:r>
              <w:rPr>
                <w:color w:val="000000"/>
                <w:sz w:val="14"/>
                <w:szCs w:val="14"/>
              </w:rPr>
              <w:t>33%</w:t>
            </w:r>
          </w:p>
        </w:tc>
        <w:tc>
          <w:tcPr>
            <w:tcW w:w="1426" w:type="dxa"/>
            <w:gridSpan w:val="2"/>
            <w:tcBorders>
              <w:top w:val="nil"/>
              <w:left w:val="nil"/>
              <w:bottom w:val="nil"/>
              <w:right w:val="nil"/>
            </w:tcBorders>
            <w:shd w:val="clear" w:color="auto" w:fill="FFFFFF"/>
            <w:vAlign w:val="bottom"/>
          </w:tcPr>
          <w:p w14:paraId="55E784A6" w14:textId="77777777" w:rsidR="00A031A6" w:rsidRDefault="00916FD0">
            <w:pPr>
              <w:jc w:val="right"/>
              <w:rPr>
                <w:color w:val="000000"/>
                <w:sz w:val="14"/>
                <w:szCs w:val="14"/>
              </w:rPr>
            </w:pPr>
            <w:r>
              <w:rPr>
                <w:color w:val="000000"/>
                <w:sz w:val="14"/>
                <w:szCs w:val="14"/>
              </w:rPr>
              <w:t>23,007,082</w:t>
            </w:r>
          </w:p>
        </w:tc>
        <w:tc>
          <w:tcPr>
            <w:tcW w:w="1070" w:type="dxa"/>
            <w:tcBorders>
              <w:top w:val="nil"/>
              <w:left w:val="nil"/>
              <w:bottom w:val="nil"/>
              <w:right w:val="nil"/>
            </w:tcBorders>
            <w:shd w:val="clear" w:color="auto" w:fill="FFFFFF"/>
            <w:vAlign w:val="bottom"/>
          </w:tcPr>
          <w:p w14:paraId="2DD8C273" w14:textId="77777777" w:rsidR="00A031A6" w:rsidRDefault="00916FD0">
            <w:pPr>
              <w:jc w:val="right"/>
              <w:rPr>
                <w:color w:val="000000"/>
                <w:sz w:val="14"/>
                <w:szCs w:val="14"/>
              </w:rPr>
            </w:pPr>
            <w:r>
              <w:rPr>
                <w:color w:val="000000"/>
                <w:sz w:val="14"/>
                <w:szCs w:val="14"/>
              </w:rPr>
              <w:t>0%</w:t>
            </w:r>
          </w:p>
        </w:tc>
      </w:tr>
      <w:tr w:rsidR="00A031A6" w14:paraId="6A73C6FD" w14:textId="77777777">
        <w:trPr>
          <w:trHeight w:val="57"/>
        </w:trPr>
        <w:tc>
          <w:tcPr>
            <w:tcW w:w="1560" w:type="dxa"/>
            <w:gridSpan w:val="2"/>
            <w:tcBorders>
              <w:top w:val="nil"/>
              <w:left w:val="nil"/>
              <w:bottom w:val="nil"/>
              <w:right w:val="nil"/>
            </w:tcBorders>
            <w:shd w:val="clear" w:color="auto" w:fill="FFFFFF"/>
            <w:vAlign w:val="bottom"/>
          </w:tcPr>
          <w:p w14:paraId="30ABB14C" w14:textId="77777777"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14:paraId="45BD7146" w14:textId="77777777" w:rsidR="00A031A6" w:rsidRDefault="00916FD0">
            <w:pPr>
              <w:jc w:val="right"/>
              <w:rPr>
                <w:color w:val="000000"/>
                <w:sz w:val="14"/>
                <w:szCs w:val="14"/>
              </w:rPr>
            </w:pPr>
            <w:r>
              <w:rPr>
                <w:color w:val="000000"/>
                <w:sz w:val="14"/>
                <w:szCs w:val="14"/>
              </w:rPr>
              <w:t>23,761,277</w:t>
            </w:r>
          </w:p>
        </w:tc>
        <w:tc>
          <w:tcPr>
            <w:tcW w:w="1043" w:type="dxa"/>
            <w:gridSpan w:val="2"/>
            <w:tcBorders>
              <w:top w:val="nil"/>
              <w:left w:val="nil"/>
              <w:bottom w:val="nil"/>
              <w:right w:val="nil"/>
            </w:tcBorders>
            <w:shd w:val="clear" w:color="auto" w:fill="FFFFFF"/>
            <w:vAlign w:val="bottom"/>
          </w:tcPr>
          <w:p w14:paraId="0FAF5AE8" w14:textId="77777777" w:rsidR="00A031A6" w:rsidRDefault="00916FD0">
            <w:pPr>
              <w:jc w:val="right"/>
              <w:rPr>
                <w:color w:val="000000"/>
                <w:sz w:val="14"/>
                <w:szCs w:val="14"/>
              </w:rPr>
            </w:pPr>
            <w:r>
              <w:rPr>
                <w:color w:val="000000"/>
                <w:sz w:val="14"/>
                <w:szCs w:val="14"/>
              </w:rPr>
              <w:t>23,007,082</w:t>
            </w:r>
          </w:p>
        </w:tc>
        <w:tc>
          <w:tcPr>
            <w:tcW w:w="967" w:type="dxa"/>
            <w:gridSpan w:val="2"/>
            <w:tcBorders>
              <w:top w:val="nil"/>
              <w:left w:val="nil"/>
              <w:bottom w:val="nil"/>
              <w:right w:val="nil"/>
            </w:tcBorders>
            <w:shd w:val="clear" w:color="auto" w:fill="FFFFFF"/>
            <w:vAlign w:val="bottom"/>
          </w:tcPr>
          <w:p w14:paraId="553F2CE7" w14:textId="77777777" w:rsidR="00A031A6" w:rsidRDefault="00916FD0">
            <w:pPr>
              <w:jc w:val="right"/>
              <w:rPr>
                <w:color w:val="000000"/>
                <w:sz w:val="14"/>
                <w:szCs w:val="14"/>
              </w:rPr>
            </w:pPr>
            <w:r>
              <w:rPr>
                <w:color w:val="000000"/>
                <w:sz w:val="14"/>
                <w:szCs w:val="14"/>
              </w:rPr>
              <w:t>2,288,000</w:t>
            </w:r>
          </w:p>
        </w:tc>
        <w:tc>
          <w:tcPr>
            <w:tcW w:w="1510" w:type="dxa"/>
            <w:gridSpan w:val="2"/>
            <w:tcBorders>
              <w:top w:val="nil"/>
              <w:left w:val="nil"/>
              <w:bottom w:val="nil"/>
              <w:right w:val="nil"/>
            </w:tcBorders>
            <w:shd w:val="clear" w:color="auto" w:fill="FFFFFF"/>
            <w:vAlign w:val="bottom"/>
          </w:tcPr>
          <w:p w14:paraId="73AA83B7" w14:textId="77777777" w:rsidR="00A031A6" w:rsidRDefault="00916FD0">
            <w:pPr>
              <w:jc w:val="right"/>
              <w:rPr>
                <w:color w:val="000000"/>
                <w:sz w:val="14"/>
                <w:szCs w:val="14"/>
              </w:rPr>
            </w:pPr>
            <w:r>
              <w:rPr>
                <w:color w:val="000000"/>
                <w:sz w:val="14"/>
                <w:szCs w:val="14"/>
              </w:rPr>
              <w:t>1,533,805</w:t>
            </w:r>
          </w:p>
        </w:tc>
        <w:tc>
          <w:tcPr>
            <w:tcW w:w="1254" w:type="dxa"/>
            <w:gridSpan w:val="2"/>
            <w:tcBorders>
              <w:top w:val="nil"/>
              <w:left w:val="nil"/>
              <w:bottom w:val="nil"/>
              <w:right w:val="nil"/>
            </w:tcBorders>
            <w:shd w:val="clear" w:color="auto" w:fill="FFFFFF"/>
            <w:vAlign w:val="bottom"/>
          </w:tcPr>
          <w:p w14:paraId="6F8BEF99"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6673C4FA" w14:textId="77777777" w:rsidR="00A031A6" w:rsidRDefault="00916FD0">
            <w:pPr>
              <w:jc w:val="right"/>
              <w:rPr>
                <w:color w:val="000000"/>
                <w:sz w:val="14"/>
                <w:szCs w:val="14"/>
              </w:rPr>
            </w:pPr>
            <w:r>
              <w:rPr>
                <w:color w:val="000000"/>
                <w:sz w:val="14"/>
                <w:szCs w:val="14"/>
              </w:rPr>
              <w:t>23,761,277</w:t>
            </w:r>
          </w:p>
        </w:tc>
        <w:tc>
          <w:tcPr>
            <w:tcW w:w="986" w:type="dxa"/>
            <w:gridSpan w:val="2"/>
            <w:tcBorders>
              <w:top w:val="nil"/>
              <w:left w:val="nil"/>
              <w:bottom w:val="nil"/>
              <w:right w:val="nil"/>
            </w:tcBorders>
            <w:shd w:val="clear" w:color="auto" w:fill="FFFFFF"/>
            <w:vAlign w:val="bottom"/>
          </w:tcPr>
          <w:p w14:paraId="0258A987"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1E6C5971"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3DAFFCC6"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238115AB" w14:textId="77777777" w:rsidR="00A031A6" w:rsidRDefault="00916FD0">
            <w:pPr>
              <w:jc w:val="right"/>
              <w:rPr>
                <w:color w:val="000000"/>
                <w:sz w:val="14"/>
                <w:szCs w:val="14"/>
              </w:rPr>
            </w:pPr>
            <w:r>
              <w:rPr>
                <w:color w:val="000000"/>
                <w:sz w:val="14"/>
                <w:szCs w:val="14"/>
              </w:rPr>
              <w:t>34%</w:t>
            </w:r>
          </w:p>
        </w:tc>
        <w:tc>
          <w:tcPr>
            <w:tcW w:w="1426" w:type="dxa"/>
            <w:gridSpan w:val="2"/>
            <w:tcBorders>
              <w:top w:val="nil"/>
              <w:left w:val="nil"/>
              <w:bottom w:val="nil"/>
              <w:right w:val="nil"/>
            </w:tcBorders>
            <w:shd w:val="clear" w:color="auto" w:fill="FFFFFF"/>
            <w:vAlign w:val="bottom"/>
          </w:tcPr>
          <w:p w14:paraId="2A28FD84" w14:textId="77777777" w:rsidR="00A031A6" w:rsidRDefault="00916FD0">
            <w:pPr>
              <w:jc w:val="right"/>
              <w:rPr>
                <w:color w:val="000000"/>
                <w:sz w:val="14"/>
                <w:szCs w:val="14"/>
              </w:rPr>
            </w:pPr>
            <w:r>
              <w:rPr>
                <w:color w:val="000000"/>
                <w:sz w:val="14"/>
                <w:szCs w:val="14"/>
              </w:rPr>
              <w:t>23,761,277</w:t>
            </w:r>
          </w:p>
        </w:tc>
        <w:tc>
          <w:tcPr>
            <w:tcW w:w="1070" w:type="dxa"/>
            <w:tcBorders>
              <w:top w:val="nil"/>
              <w:left w:val="nil"/>
              <w:bottom w:val="nil"/>
              <w:right w:val="nil"/>
            </w:tcBorders>
            <w:shd w:val="clear" w:color="auto" w:fill="FFFFFF"/>
            <w:vAlign w:val="bottom"/>
          </w:tcPr>
          <w:p w14:paraId="019273DE" w14:textId="77777777" w:rsidR="00A031A6" w:rsidRDefault="00916FD0">
            <w:pPr>
              <w:jc w:val="right"/>
              <w:rPr>
                <w:color w:val="000000"/>
                <w:sz w:val="14"/>
                <w:szCs w:val="14"/>
              </w:rPr>
            </w:pPr>
            <w:r>
              <w:rPr>
                <w:color w:val="000000"/>
                <w:sz w:val="14"/>
                <w:szCs w:val="14"/>
              </w:rPr>
              <w:t>0%</w:t>
            </w:r>
          </w:p>
        </w:tc>
      </w:tr>
      <w:tr w:rsidR="00A031A6" w14:paraId="43580AB8" w14:textId="77777777">
        <w:trPr>
          <w:trHeight w:val="57"/>
        </w:trPr>
        <w:tc>
          <w:tcPr>
            <w:tcW w:w="1560" w:type="dxa"/>
            <w:gridSpan w:val="2"/>
            <w:tcBorders>
              <w:top w:val="nil"/>
              <w:left w:val="nil"/>
              <w:bottom w:val="nil"/>
              <w:right w:val="nil"/>
            </w:tcBorders>
            <w:shd w:val="clear" w:color="auto" w:fill="FFFFFF"/>
            <w:vAlign w:val="bottom"/>
          </w:tcPr>
          <w:p w14:paraId="76A5D2B7" w14:textId="77777777"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14:paraId="5291B6FB" w14:textId="77777777" w:rsidR="00A031A6" w:rsidRDefault="00916FD0">
            <w:pPr>
              <w:jc w:val="right"/>
              <w:rPr>
                <w:color w:val="000000"/>
                <w:sz w:val="14"/>
                <w:szCs w:val="14"/>
              </w:rPr>
            </w:pPr>
            <w:r>
              <w:rPr>
                <w:color w:val="000000"/>
                <w:sz w:val="14"/>
                <w:szCs w:val="14"/>
              </w:rPr>
              <w:t>24,693,992</w:t>
            </w:r>
          </w:p>
        </w:tc>
        <w:tc>
          <w:tcPr>
            <w:tcW w:w="1043" w:type="dxa"/>
            <w:gridSpan w:val="2"/>
            <w:tcBorders>
              <w:top w:val="nil"/>
              <w:left w:val="nil"/>
              <w:bottom w:val="nil"/>
              <w:right w:val="nil"/>
            </w:tcBorders>
            <w:shd w:val="clear" w:color="auto" w:fill="FFFFFF"/>
            <w:vAlign w:val="bottom"/>
          </w:tcPr>
          <w:p w14:paraId="3B25A8CE" w14:textId="77777777" w:rsidR="00A031A6" w:rsidRDefault="00916FD0">
            <w:pPr>
              <w:jc w:val="right"/>
              <w:rPr>
                <w:color w:val="000000"/>
                <w:sz w:val="14"/>
                <w:szCs w:val="14"/>
              </w:rPr>
            </w:pPr>
            <w:r>
              <w:rPr>
                <w:color w:val="000000"/>
                <w:sz w:val="14"/>
                <w:szCs w:val="14"/>
              </w:rPr>
              <w:t>23,761,277</w:t>
            </w:r>
          </w:p>
        </w:tc>
        <w:tc>
          <w:tcPr>
            <w:tcW w:w="967" w:type="dxa"/>
            <w:gridSpan w:val="2"/>
            <w:tcBorders>
              <w:top w:val="nil"/>
              <w:left w:val="nil"/>
              <w:bottom w:val="nil"/>
              <w:right w:val="nil"/>
            </w:tcBorders>
            <w:shd w:val="clear" w:color="auto" w:fill="FFFFFF"/>
            <w:vAlign w:val="bottom"/>
          </w:tcPr>
          <w:p w14:paraId="2EC9B6B6" w14:textId="77777777" w:rsidR="00A031A6" w:rsidRDefault="00916FD0">
            <w:pPr>
              <w:jc w:val="right"/>
              <w:rPr>
                <w:color w:val="000000"/>
                <w:sz w:val="14"/>
                <w:szCs w:val="14"/>
              </w:rPr>
            </w:pPr>
            <w:r>
              <w:rPr>
                <w:color w:val="000000"/>
                <w:sz w:val="14"/>
                <w:szCs w:val="14"/>
              </w:rPr>
              <w:t>2,516,800</w:t>
            </w:r>
          </w:p>
        </w:tc>
        <w:tc>
          <w:tcPr>
            <w:tcW w:w="1510" w:type="dxa"/>
            <w:gridSpan w:val="2"/>
            <w:tcBorders>
              <w:top w:val="nil"/>
              <w:left w:val="nil"/>
              <w:bottom w:val="nil"/>
              <w:right w:val="nil"/>
            </w:tcBorders>
            <w:shd w:val="clear" w:color="auto" w:fill="FFFFFF"/>
            <w:vAlign w:val="bottom"/>
          </w:tcPr>
          <w:p w14:paraId="0B732FB9" w14:textId="77777777" w:rsidR="00A031A6" w:rsidRDefault="00916FD0">
            <w:pPr>
              <w:jc w:val="right"/>
              <w:rPr>
                <w:color w:val="000000"/>
                <w:sz w:val="14"/>
                <w:szCs w:val="14"/>
              </w:rPr>
            </w:pPr>
            <w:r>
              <w:rPr>
                <w:color w:val="000000"/>
                <w:sz w:val="14"/>
                <w:szCs w:val="14"/>
              </w:rPr>
              <w:t>1,584,085</w:t>
            </w:r>
          </w:p>
        </w:tc>
        <w:tc>
          <w:tcPr>
            <w:tcW w:w="1254" w:type="dxa"/>
            <w:gridSpan w:val="2"/>
            <w:tcBorders>
              <w:top w:val="nil"/>
              <w:left w:val="nil"/>
              <w:bottom w:val="nil"/>
              <w:right w:val="nil"/>
            </w:tcBorders>
            <w:shd w:val="clear" w:color="auto" w:fill="FFFFFF"/>
            <w:vAlign w:val="bottom"/>
          </w:tcPr>
          <w:p w14:paraId="5CFA8A3F"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12967C04" w14:textId="77777777" w:rsidR="00A031A6" w:rsidRDefault="00916FD0">
            <w:pPr>
              <w:jc w:val="right"/>
              <w:rPr>
                <w:color w:val="000000"/>
                <w:sz w:val="14"/>
                <w:szCs w:val="14"/>
              </w:rPr>
            </w:pPr>
            <w:r>
              <w:rPr>
                <w:color w:val="000000"/>
                <w:sz w:val="14"/>
                <w:szCs w:val="14"/>
              </w:rPr>
              <w:t>24,693,992</w:t>
            </w:r>
          </w:p>
        </w:tc>
        <w:tc>
          <w:tcPr>
            <w:tcW w:w="986" w:type="dxa"/>
            <w:gridSpan w:val="2"/>
            <w:tcBorders>
              <w:top w:val="nil"/>
              <w:left w:val="nil"/>
              <w:bottom w:val="nil"/>
              <w:right w:val="nil"/>
            </w:tcBorders>
            <w:shd w:val="clear" w:color="auto" w:fill="FFFFFF"/>
            <w:vAlign w:val="bottom"/>
          </w:tcPr>
          <w:p w14:paraId="322052DC"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1D179E9C"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2E2C9499"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7F4D87D2" w14:textId="77777777" w:rsidR="00A031A6" w:rsidRDefault="00916FD0">
            <w:pPr>
              <w:jc w:val="right"/>
              <w:rPr>
                <w:color w:val="000000"/>
                <w:sz w:val="14"/>
                <w:szCs w:val="14"/>
              </w:rPr>
            </w:pPr>
            <w:r>
              <w:rPr>
                <w:color w:val="000000"/>
                <w:sz w:val="14"/>
                <w:szCs w:val="14"/>
              </w:rPr>
              <w:t>35%</w:t>
            </w:r>
          </w:p>
        </w:tc>
        <w:tc>
          <w:tcPr>
            <w:tcW w:w="1426" w:type="dxa"/>
            <w:gridSpan w:val="2"/>
            <w:tcBorders>
              <w:top w:val="nil"/>
              <w:left w:val="nil"/>
              <w:bottom w:val="nil"/>
              <w:right w:val="nil"/>
            </w:tcBorders>
            <w:shd w:val="clear" w:color="auto" w:fill="FFFFFF"/>
            <w:vAlign w:val="bottom"/>
          </w:tcPr>
          <w:p w14:paraId="5C60861D" w14:textId="77777777" w:rsidR="00A031A6" w:rsidRDefault="00916FD0">
            <w:pPr>
              <w:jc w:val="right"/>
              <w:rPr>
                <w:color w:val="000000"/>
                <w:sz w:val="14"/>
                <w:szCs w:val="14"/>
              </w:rPr>
            </w:pPr>
            <w:r>
              <w:rPr>
                <w:color w:val="000000"/>
                <w:sz w:val="14"/>
                <w:szCs w:val="14"/>
              </w:rPr>
              <w:t>24,693,992</w:t>
            </w:r>
          </w:p>
        </w:tc>
        <w:tc>
          <w:tcPr>
            <w:tcW w:w="1070" w:type="dxa"/>
            <w:tcBorders>
              <w:top w:val="nil"/>
              <w:left w:val="nil"/>
              <w:bottom w:val="nil"/>
              <w:right w:val="nil"/>
            </w:tcBorders>
            <w:shd w:val="clear" w:color="auto" w:fill="FFFFFF"/>
            <w:vAlign w:val="bottom"/>
          </w:tcPr>
          <w:p w14:paraId="7E05E611" w14:textId="77777777" w:rsidR="00A031A6" w:rsidRDefault="00916FD0">
            <w:pPr>
              <w:jc w:val="right"/>
              <w:rPr>
                <w:color w:val="000000"/>
                <w:sz w:val="14"/>
                <w:szCs w:val="14"/>
              </w:rPr>
            </w:pPr>
            <w:r>
              <w:rPr>
                <w:color w:val="000000"/>
                <w:sz w:val="14"/>
                <w:szCs w:val="14"/>
              </w:rPr>
              <w:t>0%</w:t>
            </w:r>
          </w:p>
        </w:tc>
      </w:tr>
      <w:tr w:rsidR="00A031A6" w14:paraId="644010C0" w14:textId="77777777">
        <w:trPr>
          <w:trHeight w:val="57"/>
        </w:trPr>
        <w:tc>
          <w:tcPr>
            <w:tcW w:w="1560" w:type="dxa"/>
            <w:gridSpan w:val="2"/>
            <w:tcBorders>
              <w:top w:val="nil"/>
              <w:left w:val="nil"/>
              <w:bottom w:val="nil"/>
              <w:right w:val="nil"/>
            </w:tcBorders>
            <w:shd w:val="clear" w:color="auto" w:fill="FFFFFF"/>
            <w:vAlign w:val="bottom"/>
          </w:tcPr>
          <w:p w14:paraId="23A00817" w14:textId="77777777"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14:paraId="4D632CA0" w14:textId="77777777" w:rsidR="00A031A6" w:rsidRDefault="00916FD0">
            <w:pPr>
              <w:jc w:val="right"/>
              <w:rPr>
                <w:color w:val="000000"/>
                <w:sz w:val="14"/>
                <w:szCs w:val="14"/>
              </w:rPr>
            </w:pPr>
            <w:r>
              <w:rPr>
                <w:color w:val="000000"/>
                <w:sz w:val="14"/>
                <w:szCs w:val="14"/>
              </w:rPr>
              <w:t>25,816,206</w:t>
            </w:r>
          </w:p>
        </w:tc>
        <w:tc>
          <w:tcPr>
            <w:tcW w:w="1043" w:type="dxa"/>
            <w:gridSpan w:val="2"/>
            <w:tcBorders>
              <w:top w:val="nil"/>
              <w:left w:val="nil"/>
              <w:bottom w:val="nil"/>
              <w:right w:val="nil"/>
            </w:tcBorders>
            <w:shd w:val="clear" w:color="auto" w:fill="FFFFFF"/>
            <w:vAlign w:val="bottom"/>
          </w:tcPr>
          <w:p w14:paraId="70B3E0E5" w14:textId="77777777" w:rsidR="00A031A6" w:rsidRDefault="00916FD0">
            <w:pPr>
              <w:jc w:val="right"/>
              <w:rPr>
                <w:color w:val="000000"/>
                <w:sz w:val="14"/>
                <w:szCs w:val="14"/>
              </w:rPr>
            </w:pPr>
            <w:r>
              <w:rPr>
                <w:color w:val="000000"/>
                <w:sz w:val="14"/>
                <w:szCs w:val="14"/>
              </w:rPr>
              <w:t>24,693,992</w:t>
            </w:r>
          </w:p>
        </w:tc>
        <w:tc>
          <w:tcPr>
            <w:tcW w:w="967" w:type="dxa"/>
            <w:gridSpan w:val="2"/>
            <w:tcBorders>
              <w:top w:val="nil"/>
              <w:left w:val="nil"/>
              <w:bottom w:val="nil"/>
              <w:right w:val="nil"/>
            </w:tcBorders>
            <w:shd w:val="clear" w:color="auto" w:fill="FFFFFF"/>
            <w:vAlign w:val="bottom"/>
          </w:tcPr>
          <w:p w14:paraId="3FC7AB2D" w14:textId="77777777" w:rsidR="00A031A6" w:rsidRDefault="00916FD0">
            <w:pPr>
              <w:jc w:val="right"/>
              <w:rPr>
                <w:color w:val="000000"/>
                <w:sz w:val="14"/>
                <w:szCs w:val="14"/>
              </w:rPr>
            </w:pPr>
            <w:r>
              <w:rPr>
                <w:color w:val="000000"/>
                <w:sz w:val="14"/>
                <w:szCs w:val="14"/>
              </w:rPr>
              <w:t>2,768,480</w:t>
            </w:r>
          </w:p>
        </w:tc>
        <w:tc>
          <w:tcPr>
            <w:tcW w:w="1510" w:type="dxa"/>
            <w:gridSpan w:val="2"/>
            <w:tcBorders>
              <w:top w:val="nil"/>
              <w:left w:val="nil"/>
              <w:bottom w:val="nil"/>
              <w:right w:val="nil"/>
            </w:tcBorders>
            <w:shd w:val="clear" w:color="auto" w:fill="FFFFFF"/>
            <w:vAlign w:val="bottom"/>
          </w:tcPr>
          <w:p w14:paraId="69FEAC18" w14:textId="77777777" w:rsidR="00A031A6" w:rsidRDefault="00916FD0">
            <w:pPr>
              <w:jc w:val="right"/>
              <w:rPr>
                <w:color w:val="000000"/>
                <w:sz w:val="14"/>
                <w:szCs w:val="14"/>
              </w:rPr>
            </w:pPr>
            <w:r>
              <w:rPr>
                <w:color w:val="000000"/>
                <w:sz w:val="14"/>
                <w:szCs w:val="14"/>
              </w:rPr>
              <w:t>1,646,266</w:t>
            </w:r>
          </w:p>
        </w:tc>
        <w:tc>
          <w:tcPr>
            <w:tcW w:w="1254" w:type="dxa"/>
            <w:gridSpan w:val="2"/>
            <w:tcBorders>
              <w:top w:val="nil"/>
              <w:left w:val="nil"/>
              <w:bottom w:val="nil"/>
              <w:right w:val="nil"/>
            </w:tcBorders>
            <w:shd w:val="clear" w:color="auto" w:fill="FFFFFF"/>
            <w:vAlign w:val="bottom"/>
          </w:tcPr>
          <w:p w14:paraId="6A1D113F"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782B99BD" w14:textId="77777777" w:rsidR="00A031A6" w:rsidRDefault="00916FD0">
            <w:pPr>
              <w:jc w:val="right"/>
              <w:rPr>
                <w:color w:val="000000"/>
                <w:sz w:val="14"/>
                <w:szCs w:val="14"/>
              </w:rPr>
            </w:pPr>
            <w:r>
              <w:rPr>
                <w:color w:val="000000"/>
                <w:sz w:val="14"/>
                <w:szCs w:val="14"/>
              </w:rPr>
              <w:t>23,047,726</w:t>
            </w:r>
          </w:p>
        </w:tc>
        <w:tc>
          <w:tcPr>
            <w:tcW w:w="986" w:type="dxa"/>
            <w:gridSpan w:val="2"/>
            <w:tcBorders>
              <w:top w:val="nil"/>
              <w:left w:val="nil"/>
              <w:bottom w:val="nil"/>
              <w:right w:val="nil"/>
            </w:tcBorders>
            <w:shd w:val="clear" w:color="auto" w:fill="FFFFFF"/>
            <w:vAlign w:val="bottom"/>
          </w:tcPr>
          <w:p w14:paraId="3BB5F187" w14:textId="77777777" w:rsidR="00A031A6" w:rsidRDefault="00916FD0">
            <w:pPr>
              <w:jc w:val="right"/>
              <w:rPr>
                <w:color w:val="000000"/>
                <w:sz w:val="14"/>
                <w:szCs w:val="14"/>
              </w:rPr>
            </w:pPr>
            <w:r>
              <w:rPr>
                <w:color w:val="000000"/>
                <w:sz w:val="14"/>
                <w:szCs w:val="14"/>
              </w:rPr>
              <w:t>89%</w:t>
            </w:r>
          </w:p>
        </w:tc>
        <w:tc>
          <w:tcPr>
            <w:tcW w:w="1214" w:type="dxa"/>
            <w:gridSpan w:val="2"/>
            <w:tcBorders>
              <w:top w:val="nil"/>
              <w:left w:val="nil"/>
              <w:bottom w:val="nil"/>
              <w:right w:val="nil"/>
            </w:tcBorders>
            <w:shd w:val="clear" w:color="auto" w:fill="FFFFFF"/>
            <w:vAlign w:val="bottom"/>
          </w:tcPr>
          <w:p w14:paraId="4DFFAA46" w14:textId="77777777" w:rsidR="00A031A6" w:rsidRDefault="00916FD0">
            <w:pPr>
              <w:jc w:val="right"/>
              <w:rPr>
                <w:color w:val="000000"/>
                <w:sz w:val="14"/>
                <w:szCs w:val="14"/>
              </w:rPr>
            </w:pPr>
            <w:r>
              <w:rPr>
                <w:color w:val="000000"/>
                <w:sz w:val="14"/>
                <w:szCs w:val="14"/>
              </w:rPr>
              <w:t>2,768,480</w:t>
            </w:r>
          </w:p>
        </w:tc>
        <w:tc>
          <w:tcPr>
            <w:tcW w:w="1216" w:type="dxa"/>
            <w:gridSpan w:val="2"/>
            <w:tcBorders>
              <w:top w:val="nil"/>
              <w:left w:val="nil"/>
              <w:bottom w:val="nil"/>
              <w:right w:val="nil"/>
            </w:tcBorders>
            <w:shd w:val="clear" w:color="auto" w:fill="FFFFFF"/>
            <w:vAlign w:val="bottom"/>
          </w:tcPr>
          <w:p w14:paraId="64341E49" w14:textId="77777777" w:rsidR="00A031A6" w:rsidRDefault="00916FD0">
            <w:pPr>
              <w:jc w:val="right"/>
              <w:rPr>
                <w:color w:val="000000"/>
                <w:sz w:val="14"/>
                <w:szCs w:val="14"/>
              </w:rPr>
            </w:pPr>
            <w:r>
              <w:rPr>
                <w:color w:val="000000"/>
                <w:sz w:val="14"/>
                <w:szCs w:val="14"/>
              </w:rPr>
              <w:t>11%</w:t>
            </w:r>
          </w:p>
        </w:tc>
        <w:tc>
          <w:tcPr>
            <w:tcW w:w="988" w:type="dxa"/>
            <w:gridSpan w:val="2"/>
            <w:tcBorders>
              <w:top w:val="nil"/>
              <w:left w:val="nil"/>
              <w:bottom w:val="nil"/>
              <w:right w:val="nil"/>
            </w:tcBorders>
            <w:shd w:val="clear" w:color="auto" w:fill="FFFFFF"/>
            <w:vAlign w:val="bottom"/>
          </w:tcPr>
          <w:p w14:paraId="3E7AD513" w14:textId="77777777" w:rsidR="00A031A6" w:rsidRDefault="00916FD0">
            <w:pPr>
              <w:jc w:val="right"/>
              <w:rPr>
                <w:color w:val="000000"/>
                <w:sz w:val="14"/>
                <w:szCs w:val="14"/>
              </w:rPr>
            </w:pPr>
            <w:r>
              <w:rPr>
                <w:color w:val="000000"/>
                <w:sz w:val="14"/>
                <w:szCs w:val="14"/>
              </w:rPr>
              <w:t>36%</w:t>
            </w:r>
          </w:p>
        </w:tc>
        <w:tc>
          <w:tcPr>
            <w:tcW w:w="1426" w:type="dxa"/>
            <w:gridSpan w:val="2"/>
            <w:tcBorders>
              <w:top w:val="nil"/>
              <w:left w:val="nil"/>
              <w:bottom w:val="nil"/>
              <w:right w:val="nil"/>
            </w:tcBorders>
            <w:shd w:val="clear" w:color="auto" w:fill="FFFFFF"/>
            <w:vAlign w:val="bottom"/>
          </w:tcPr>
          <w:p w14:paraId="094D0BBA" w14:textId="77777777" w:rsidR="00A031A6" w:rsidRDefault="00916FD0">
            <w:pPr>
              <w:jc w:val="right"/>
              <w:rPr>
                <w:color w:val="000000"/>
                <w:sz w:val="14"/>
                <w:szCs w:val="14"/>
              </w:rPr>
            </w:pPr>
            <w:r>
              <w:rPr>
                <w:color w:val="000000"/>
                <w:sz w:val="14"/>
                <w:szCs w:val="14"/>
              </w:rPr>
              <w:t>25,816,206</w:t>
            </w:r>
          </w:p>
        </w:tc>
        <w:tc>
          <w:tcPr>
            <w:tcW w:w="1070" w:type="dxa"/>
            <w:tcBorders>
              <w:top w:val="nil"/>
              <w:left w:val="nil"/>
              <w:bottom w:val="nil"/>
              <w:right w:val="nil"/>
            </w:tcBorders>
            <w:shd w:val="clear" w:color="auto" w:fill="FFFFFF"/>
            <w:vAlign w:val="bottom"/>
          </w:tcPr>
          <w:p w14:paraId="6BC79F88" w14:textId="77777777" w:rsidR="00A031A6" w:rsidRDefault="00916FD0">
            <w:pPr>
              <w:jc w:val="right"/>
              <w:rPr>
                <w:color w:val="000000"/>
                <w:sz w:val="14"/>
                <w:szCs w:val="14"/>
              </w:rPr>
            </w:pPr>
            <w:r>
              <w:rPr>
                <w:color w:val="000000"/>
                <w:sz w:val="14"/>
                <w:szCs w:val="14"/>
              </w:rPr>
              <w:t>0%</w:t>
            </w:r>
          </w:p>
        </w:tc>
      </w:tr>
      <w:tr w:rsidR="00A031A6" w14:paraId="1F905E63" w14:textId="77777777">
        <w:trPr>
          <w:trHeight w:val="57"/>
        </w:trPr>
        <w:tc>
          <w:tcPr>
            <w:tcW w:w="1560" w:type="dxa"/>
            <w:gridSpan w:val="2"/>
            <w:tcBorders>
              <w:top w:val="nil"/>
              <w:left w:val="nil"/>
              <w:bottom w:val="nil"/>
              <w:right w:val="nil"/>
            </w:tcBorders>
            <w:shd w:val="clear" w:color="auto" w:fill="FFFFFF"/>
            <w:vAlign w:val="bottom"/>
          </w:tcPr>
          <w:p w14:paraId="08CF88C5" w14:textId="77777777"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14:paraId="1CBE9A14" w14:textId="77777777" w:rsidR="00A031A6" w:rsidRDefault="00916FD0">
            <w:pPr>
              <w:jc w:val="right"/>
              <w:rPr>
                <w:color w:val="000000"/>
                <w:sz w:val="14"/>
                <w:szCs w:val="14"/>
              </w:rPr>
            </w:pPr>
            <w:r>
              <w:rPr>
                <w:color w:val="000000"/>
                <w:sz w:val="14"/>
                <w:szCs w:val="14"/>
              </w:rPr>
              <w:t>27,140,453</w:t>
            </w:r>
          </w:p>
        </w:tc>
        <w:tc>
          <w:tcPr>
            <w:tcW w:w="1043" w:type="dxa"/>
            <w:gridSpan w:val="2"/>
            <w:tcBorders>
              <w:top w:val="nil"/>
              <w:left w:val="nil"/>
              <w:bottom w:val="nil"/>
              <w:right w:val="nil"/>
            </w:tcBorders>
            <w:shd w:val="clear" w:color="auto" w:fill="FFFFFF"/>
            <w:vAlign w:val="bottom"/>
          </w:tcPr>
          <w:p w14:paraId="5729A0B2" w14:textId="77777777" w:rsidR="00A031A6" w:rsidRDefault="00916FD0">
            <w:pPr>
              <w:jc w:val="right"/>
              <w:rPr>
                <w:color w:val="000000"/>
                <w:sz w:val="14"/>
                <w:szCs w:val="14"/>
              </w:rPr>
            </w:pPr>
            <w:r>
              <w:rPr>
                <w:color w:val="000000"/>
                <w:sz w:val="14"/>
                <w:szCs w:val="14"/>
              </w:rPr>
              <w:t>25,816,206</w:t>
            </w:r>
          </w:p>
        </w:tc>
        <w:tc>
          <w:tcPr>
            <w:tcW w:w="967" w:type="dxa"/>
            <w:gridSpan w:val="2"/>
            <w:tcBorders>
              <w:top w:val="nil"/>
              <w:left w:val="nil"/>
              <w:bottom w:val="nil"/>
              <w:right w:val="nil"/>
            </w:tcBorders>
            <w:shd w:val="clear" w:color="auto" w:fill="FFFFFF"/>
            <w:vAlign w:val="bottom"/>
          </w:tcPr>
          <w:p w14:paraId="7306A5AD" w14:textId="77777777" w:rsidR="00A031A6" w:rsidRDefault="00916FD0">
            <w:pPr>
              <w:jc w:val="right"/>
              <w:rPr>
                <w:color w:val="000000"/>
                <w:sz w:val="14"/>
                <w:szCs w:val="14"/>
              </w:rPr>
            </w:pPr>
            <w:r>
              <w:rPr>
                <w:color w:val="000000"/>
                <w:sz w:val="14"/>
                <w:szCs w:val="14"/>
              </w:rPr>
              <w:t>3,045,328</w:t>
            </w:r>
          </w:p>
        </w:tc>
        <w:tc>
          <w:tcPr>
            <w:tcW w:w="1510" w:type="dxa"/>
            <w:gridSpan w:val="2"/>
            <w:tcBorders>
              <w:top w:val="nil"/>
              <w:left w:val="nil"/>
              <w:bottom w:val="nil"/>
              <w:right w:val="nil"/>
            </w:tcBorders>
            <w:shd w:val="clear" w:color="auto" w:fill="FFFFFF"/>
            <w:vAlign w:val="bottom"/>
          </w:tcPr>
          <w:p w14:paraId="610ED5F5" w14:textId="77777777" w:rsidR="00A031A6" w:rsidRDefault="00916FD0">
            <w:pPr>
              <w:jc w:val="right"/>
              <w:rPr>
                <w:color w:val="000000"/>
                <w:sz w:val="14"/>
                <w:szCs w:val="14"/>
              </w:rPr>
            </w:pPr>
            <w:r>
              <w:rPr>
                <w:color w:val="000000"/>
                <w:sz w:val="14"/>
                <w:szCs w:val="14"/>
              </w:rPr>
              <w:t>1,536,515</w:t>
            </w:r>
          </w:p>
        </w:tc>
        <w:tc>
          <w:tcPr>
            <w:tcW w:w="1254" w:type="dxa"/>
            <w:gridSpan w:val="2"/>
            <w:tcBorders>
              <w:top w:val="nil"/>
              <w:left w:val="nil"/>
              <w:bottom w:val="nil"/>
              <w:right w:val="nil"/>
            </w:tcBorders>
            <w:shd w:val="clear" w:color="auto" w:fill="FFFFFF"/>
            <w:vAlign w:val="bottom"/>
          </w:tcPr>
          <w:p w14:paraId="1132F871" w14:textId="77777777" w:rsidR="00A031A6" w:rsidRDefault="00916FD0">
            <w:pPr>
              <w:jc w:val="right"/>
              <w:rPr>
                <w:color w:val="000000"/>
                <w:sz w:val="14"/>
                <w:szCs w:val="14"/>
              </w:rPr>
            </w:pPr>
            <w:r>
              <w:rPr>
                <w:color w:val="000000"/>
                <w:sz w:val="14"/>
                <w:szCs w:val="14"/>
              </w:rPr>
              <w:t>184,565</w:t>
            </w:r>
          </w:p>
        </w:tc>
        <w:tc>
          <w:tcPr>
            <w:tcW w:w="995" w:type="dxa"/>
            <w:tcBorders>
              <w:top w:val="nil"/>
              <w:left w:val="nil"/>
              <w:bottom w:val="nil"/>
              <w:right w:val="nil"/>
            </w:tcBorders>
            <w:shd w:val="clear" w:color="auto" w:fill="FFFFFF"/>
            <w:vAlign w:val="bottom"/>
          </w:tcPr>
          <w:p w14:paraId="6B71B1C2" w14:textId="77777777" w:rsidR="00A031A6" w:rsidRDefault="00916FD0">
            <w:pPr>
              <w:jc w:val="right"/>
              <w:rPr>
                <w:color w:val="000000"/>
                <w:sz w:val="14"/>
                <w:szCs w:val="14"/>
              </w:rPr>
            </w:pPr>
            <w:r>
              <w:rPr>
                <w:color w:val="000000"/>
                <w:sz w:val="14"/>
                <w:szCs w:val="14"/>
              </w:rPr>
              <w:t>21,511,211</w:t>
            </w:r>
          </w:p>
        </w:tc>
        <w:tc>
          <w:tcPr>
            <w:tcW w:w="986" w:type="dxa"/>
            <w:gridSpan w:val="2"/>
            <w:tcBorders>
              <w:top w:val="nil"/>
              <w:left w:val="nil"/>
              <w:bottom w:val="nil"/>
              <w:right w:val="nil"/>
            </w:tcBorders>
            <w:shd w:val="clear" w:color="auto" w:fill="FFFFFF"/>
            <w:vAlign w:val="bottom"/>
          </w:tcPr>
          <w:p w14:paraId="03BD4DDA" w14:textId="77777777" w:rsidR="00A031A6" w:rsidRDefault="00916FD0">
            <w:pPr>
              <w:jc w:val="right"/>
              <w:rPr>
                <w:color w:val="000000"/>
                <w:sz w:val="14"/>
                <w:szCs w:val="14"/>
              </w:rPr>
            </w:pPr>
            <w:r>
              <w:rPr>
                <w:color w:val="000000"/>
                <w:sz w:val="14"/>
                <w:szCs w:val="14"/>
              </w:rPr>
              <w:t>79%</w:t>
            </w:r>
          </w:p>
        </w:tc>
        <w:tc>
          <w:tcPr>
            <w:tcW w:w="1214" w:type="dxa"/>
            <w:gridSpan w:val="2"/>
            <w:tcBorders>
              <w:top w:val="nil"/>
              <w:left w:val="nil"/>
              <w:bottom w:val="nil"/>
              <w:right w:val="nil"/>
            </w:tcBorders>
            <w:shd w:val="clear" w:color="auto" w:fill="FFFFFF"/>
            <w:vAlign w:val="bottom"/>
          </w:tcPr>
          <w:p w14:paraId="106046BE" w14:textId="77777777" w:rsidR="00A031A6" w:rsidRDefault="00916FD0">
            <w:pPr>
              <w:jc w:val="right"/>
              <w:rPr>
                <w:color w:val="000000"/>
                <w:sz w:val="14"/>
                <w:szCs w:val="14"/>
              </w:rPr>
            </w:pPr>
            <w:r>
              <w:rPr>
                <w:color w:val="000000"/>
                <w:sz w:val="14"/>
                <w:szCs w:val="14"/>
              </w:rPr>
              <w:t>5,629,243</w:t>
            </w:r>
          </w:p>
        </w:tc>
        <w:tc>
          <w:tcPr>
            <w:tcW w:w="1216" w:type="dxa"/>
            <w:gridSpan w:val="2"/>
            <w:tcBorders>
              <w:top w:val="nil"/>
              <w:left w:val="nil"/>
              <w:bottom w:val="nil"/>
              <w:right w:val="nil"/>
            </w:tcBorders>
            <w:shd w:val="clear" w:color="auto" w:fill="FFFFFF"/>
            <w:vAlign w:val="bottom"/>
          </w:tcPr>
          <w:p w14:paraId="58869062" w14:textId="77777777" w:rsidR="00A031A6" w:rsidRDefault="00916FD0">
            <w:pPr>
              <w:jc w:val="right"/>
              <w:rPr>
                <w:color w:val="000000"/>
                <w:sz w:val="14"/>
                <w:szCs w:val="14"/>
              </w:rPr>
            </w:pPr>
            <w:r>
              <w:rPr>
                <w:color w:val="000000"/>
                <w:sz w:val="14"/>
                <w:szCs w:val="14"/>
              </w:rPr>
              <w:t>21%</w:t>
            </w:r>
          </w:p>
        </w:tc>
        <w:tc>
          <w:tcPr>
            <w:tcW w:w="988" w:type="dxa"/>
            <w:gridSpan w:val="2"/>
            <w:tcBorders>
              <w:top w:val="nil"/>
              <w:left w:val="nil"/>
              <w:bottom w:val="nil"/>
              <w:right w:val="nil"/>
            </w:tcBorders>
            <w:shd w:val="clear" w:color="auto" w:fill="FFFFFF"/>
            <w:vAlign w:val="bottom"/>
          </w:tcPr>
          <w:p w14:paraId="3D5DE3A2" w14:textId="77777777" w:rsidR="00A031A6" w:rsidRDefault="00916FD0">
            <w:pPr>
              <w:jc w:val="right"/>
              <w:rPr>
                <w:color w:val="000000"/>
                <w:sz w:val="14"/>
                <w:szCs w:val="14"/>
              </w:rPr>
            </w:pPr>
            <w:r>
              <w:rPr>
                <w:color w:val="000000"/>
                <w:sz w:val="14"/>
                <w:szCs w:val="14"/>
              </w:rPr>
              <w:t>38%</w:t>
            </w:r>
          </w:p>
        </w:tc>
        <w:tc>
          <w:tcPr>
            <w:tcW w:w="1426" w:type="dxa"/>
            <w:gridSpan w:val="2"/>
            <w:tcBorders>
              <w:top w:val="nil"/>
              <w:left w:val="nil"/>
              <w:bottom w:val="nil"/>
              <w:right w:val="nil"/>
            </w:tcBorders>
            <w:shd w:val="clear" w:color="auto" w:fill="FFFFFF"/>
            <w:vAlign w:val="bottom"/>
          </w:tcPr>
          <w:p w14:paraId="55F28422" w14:textId="77777777" w:rsidR="00A031A6" w:rsidRDefault="00916FD0">
            <w:pPr>
              <w:jc w:val="right"/>
              <w:rPr>
                <w:color w:val="000000"/>
                <w:sz w:val="14"/>
                <w:szCs w:val="14"/>
              </w:rPr>
            </w:pPr>
            <w:r>
              <w:rPr>
                <w:color w:val="000000"/>
                <w:sz w:val="14"/>
                <w:szCs w:val="14"/>
              </w:rPr>
              <w:t>27,140,453</w:t>
            </w:r>
          </w:p>
        </w:tc>
        <w:tc>
          <w:tcPr>
            <w:tcW w:w="1070" w:type="dxa"/>
            <w:tcBorders>
              <w:top w:val="nil"/>
              <w:left w:val="nil"/>
              <w:bottom w:val="nil"/>
              <w:right w:val="nil"/>
            </w:tcBorders>
            <w:shd w:val="clear" w:color="auto" w:fill="FFFFFF"/>
            <w:vAlign w:val="bottom"/>
          </w:tcPr>
          <w:p w14:paraId="53C3F4BA" w14:textId="77777777" w:rsidR="00A031A6" w:rsidRDefault="00916FD0">
            <w:pPr>
              <w:jc w:val="right"/>
              <w:rPr>
                <w:color w:val="000000"/>
                <w:sz w:val="14"/>
                <w:szCs w:val="14"/>
              </w:rPr>
            </w:pPr>
            <w:r>
              <w:rPr>
                <w:color w:val="000000"/>
                <w:sz w:val="14"/>
                <w:szCs w:val="14"/>
              </w:rPr>
              <w:t>0%</w:t>
            </w:r>
          </w:p>
        </w:tc>
      </w:tr>
      <w:tr w:rsidR="00A031A6" w14:paraId="599C6B14" w14:textId="77777777">
        <w:trPr>
          <w:trHeight w:val="57"/>
        </w:trPr>
        <w:tc>
          <w:tcPr>
            <w:tcW w:w="1560" w:type="dxa"/>
            <w:gridSpan w:val="2"/>
            <w:tcBorders>
              <w:top w:val="nil"/>
              <w:left w:val="nil"/>
              <w:bottom w:val="nil"/>
              <w:right w:val="nil"/>
            </w:tcBorders>
            <w:shd w:val="clear" w:color="auto" w:fill="FFFFFF"/>
            <w:vAlign w:val="bottom"/>
          </w:tcPr>
          <w:p w14:paraId="0081B524" w14:textId="77777777"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14:paraId="0B0EC9E6" w14:textId="77777777" w:rsidR="00A031A6" w:rsidRDefault="00916FD0">
            <w:pPr>
              <w:jc w:val="right"/>
              <w:rPr>
                <w:color w:val="000000"/>
                <w:sz w:val="14"/>
                <w:szCs w:val="14"/>
              </w:rPr>
            </w:pPr>
            <w:r>
              <w:rPr>
                <w:color w:val="000000"/>
                <w:sz w:val="14"/>
                <w:szCs w:val="14"/>
              </w:rPr>
              <w:t>28,680,951</w:t>
            </w:r>
          </w:p>
        </w:tc>
        <w:tc>
          <w:tcPr>
            <w:tcW w:w="1043" w:type="dxa"/>
            <w:gridSpan w:val="2"/>
            <w:tcBorders>
              <w:top w:val="nil"/>
              <w:left w:val="nil"/>
              <w:bottom w:val="nil"/>
              <w:right w:val="nil"/>
            </w:tcBorders>
            <w:shd w:val="clear" w:color="auto" w:fill="FFFFFF"/>
            <w:vAlign w:val="bottom"/>
          </w:tcPr>
          <w:p w14:paraId="5164294A" w14:textId="77777777" w:rsidR="00A031A6" w:rsidRDefault="00916FD0">
            <w:pPr>
              <w:jc w:val="right"/>
              <w:rPr>
                <w:color w:val="000000"/>
                <w:sz w:val="14"/>
                <w:szCs w:val="14"/>
              </w:rPr>
            </w:pPr>
            <w:r>
              <w:rPr>
                <w:color w:val="000000"/>
                <w:sz w:val="14"/>
                <w:szCs w:val="14"/>
              </w:rPr>
              <w:t>27,140,453</w:t>
            </w:r>
          </w:p>
        </w:tc>
        <w:tc>
          <w:tcPr>
            <w:tcW w:w="967" w:type="dxa"/>
            <w:gridSpan w:val="2"/>
            <w:tcBorders>
              <w:top w:val="nil"/>
              <w:left w:val="nil"/>
              <w:bottom w:val="nil"/>
              <w:right w:val="nil"/>
            </w:tcBorders>
            <w:shd w:val="clear" w:color="auto" w:fill="FFFFFF"/>
            <w:vAlign w:val="bottom"/>
          </w:tcPr>
          <w:p w14:paraId="0A90CBB9" w14:textId="77777777" w:rsidR="00A031A6" w:rsidRDefault="00916FD0">
            <w:pPr>
              <w:jc w:val="right"/>
              <w:rPr>
                <w:color w:val="000000"/>
                <w:sz w:val="14"/>
                <w:szCs w:val="14"/>
              </w:rPr>
            </w:pPr>
            <w:r>
              <w:rPr>
                <w:color w:val="000000"/>
                <w:sz w:val="14"/>
                <w:szCs w:val="14"/>
              </w:rPr>
              <w:t>3,349,861</w:t>
            </w:r>
          </w:p>
        </w:tc>
        <w:tc>
          <w:tcPr>
            <w:tcW w:w="1510" w:type="dxa"/>
            <w:gridSpan w:val="2"/>
            <w:tcBorders>
              <w:top w:val="nil"/>
              <w:left w:val="nil"/>
              <w:bottom w:val="nil"/>
              <w:right w:val="nil"/>
            </w:tcBorders>
            <w:shd w:val="clear" w:color="auto" w:fill="FFFFFF"/>
            <w:vAlign w:val="bottom"/>
          </w:tcPr>
          <w:p w14:paraId="6FE42D1B" w14:textId="77777777" w:rsidR="00A031A6" w:rsidRDefault="00916FD0">
            <w:pPr>
              <w:jc w:val="right"/>
              <w:rPr>
                <w:color w:val="000000"/>
                <w:sz w:val="14"/>
                <w:szCs w:val="14"/>
              </w:rPr>
            </w:pPr>
            <w:r>
              <w:rPr>
                <w:color w:val="000000"/>
                <w:sz w:val="14"/>
                <w:szCs w:val="14"/>
              </w:rPr>
              <w:t>1,434,081</w:t>
            </w:r>
          </w:p>
        </w:tc>
        <w:tc>
          <w:tcPr>
            <w:tcW w:w="1254" w:type="dxa"/>
            <w:gridSpan w:val="2"/>
            <w:tcBorders>
              <w:top w:val="nil"/>
              <w:left w:val="nil"/>
              <w:bottom w:val="nil"/>
              <w:right w:val="nil"/>
            </w:tcBorders>
            <w:shd w:val="clear" w:color="auto" w:fill="FFFFFF"/>
            <w:vAlign w:val="bottom"/>
          </w:tcPr>
          <w:p w14:paraId="1FA347CB" w14:textId="77777777" w:rsidR="00A031A6" w:rsidRDefault="00916FD0">
            <w:pPr>
              <w:jc w:val="right"/>
              <w:rPr>
                <w:color w:val="000000"/>
                <w:sz w:val="14"/>
                <w:szCs w:val="14"/>
              </w:rPr>
            </w:pPr>
            <w:r>
              <w:rPr>
                <w:color w:val="000000"/>
                <w:sz w:val="14"/>
                <w:szCs w:val="14"/>
              </w:rPr>
              <w:t>375,283</w:t>
            </w:r>
          </w:p>
        </w:tc>
        <w:tc>
          <w:tcPr>
            <w:tcW w:w="995" w:type="dxa"/>
            <w:tcBorders>
              <w:top w:val="nil"/>
              <w:left w:val="nil"/>
              <w:bottom w:val="nil"/>
              <w:right w:val="nil"/>
            </w:tcBorders>
            <w:shd w:val="clear" w:color="auto" w:fill="FFFFFF"/>
            <w:vAlign w:val="bottom"/>
          </w:tcPr>
          <w:p w14:paraId="5605E846" w14:textId="77777777" w:rsidR="00A031A6" w:rsidRDefault="00916FD0">
            <w:pPr>
              <w:jc w:val="right"/>
              <w:rPr>
                <w:color w:val="000000"/>
                <w:sz w:val="14"/>
                <w:szCs w:val="14"/>
              </w:rPr>
            </w:pPr>
            <w:r>
              <w:rPr>
                <w:color w:val="000000"/>
                <w:sz w:val="14"/>
                <w:szCs w:val="14"/>
              </w:rPr>
              <w:t>20,077,130</w:t>
            </w:r>
          </w:p>
        </w:tc>
        <w:tc>
          <w:tcPr>
            <w:tcW w:w="986" w:type="dxa"/>
            <w:gridSpan w:val="2"/>
            <w:tcBorders>
              <w:top w:val="nil"/>
              <w:left w:val="nil"/>
              <w:bottom w:val="nil"/>
              <w:right w:val="nil"/>
            </w:tcBorders>
            <w:shd w:val="clear" w:color="auto" w:fill="FFFFFF"/>
            <w:vAlign w:val="bottom"/>
          </w:tcPr>
          <w:p w14:paraId="3BACA1BE" w14:textId="77777777" w:rsidR="00A031A6" w:rsidRDefault="00916FD0">
            <w:pPr>
              <w:jc w:val="right"/>
              <w:rPr>
                <w:color w:val="000000"/>
                <w:sz w:val="14"/>
                <w:szCs w:val="14"/>
              </w:rPr>
            </w:pPr>
            <w:r>
              <w:rPr>
                <w:color w:val="000000"/>
                <w:sz w:val="14"/>
                <w:szCs w:val="14"/>
              </w:rPr>
              <w:t>70%</w:t>
            </w:r>
          </w:p>
        </w:tc>
        <w:tc>
          <w:tcPr>
            <w:tcW w:w="1214" w:type="dxa"/>
            <w:gridSpan w:val="2"/>
            <w:tcBorders>
              <w:top w:val="nil"/>
              <w:left w:val="nil"/>
              <w:bottom w:val="nil"/>
              <w:right w:val="nil"/>
            </w:tcBorders>
            <w:shd w:val="clear" w:color="auto" w:fill="FFFFFF"/>
            <w:vAlign w:val="bottom"/>
          </w:tcPr>
          <w:p w14:paraId="68C5C778" w14:textId="77777777" w:rsidR="00A031A6" w:rsidRDefault="00916FD0">
            <w:pPr>
              <w:jc w:val="right"/>
              <w:rPr>
                <w:color w:val="000000"/>
                <w:sz w:val="14"/>
                <w:szCs w:val="14"/>
              </w:rPr>
            </w:pPr>
            <w:r>
              <w:rPr>
                <w:color w:val="000000"/>
                <w:sz w:val="14"/>
                <w:szCs w:val="14"/>
              </w:rPr>
              <w:t>8,603,821</w:t>
            </w:r>
          </w:p>
        </w:tc>
        <w:tc>
          <w:tcPr>
            <w:tcW w:w="1216" w:type="dxa"/>
            <w:gridSpan w:val="2"/>
            <w:tcBorders>
              <w:top w:val="nil"/>
              <w:left w:val="nil"/>
              <w:bottom w:val="nil"/>
              <w:right w:val="nil"/>
            </w:tcBorders>
            <w:shd w:val="clear" w:color="auto" w:fill="FFFFFF"/>
            <w:vAlign w:val="bottom"/>
          </w:tcPr>
          <w:p w14:paraId="06823172" w14:textId="77777777" w:rsidR="00A031A6" w:rsidRDefault="00916FD0">
            <w:pPr>
              <w:jc w:val="right"/>
              <w:rPr>
                <w:color w:val="000000"/>
                <w:sz w:val="14"/>
                <w:szCs w:val="14"/>
              </w:rPr>
            </w:pPr>
            <w:r>
              <w:rPr>
                <w:color w:val="000000"/>
                <w:sz w:val="14"/>
                <w:szCs w:val="14"/>
              </w:rPr>
              <w:t>30%</w:t>
            </w:r>
          </w:p>
        </w:tc>
        <w:tc>
          <w:tcPr>
            <w:tcW w:w="988" w:type="dxa"/>
            <w:gridSpan w:val="2"/>
            <w:tcBorders>
              <w:top w:val="nil"/>
              <w:left w:val="nil"/>
              <w:bottom w:val="nil"/>
              <w:right w:val="nil"/>
            </w:tcBorders>
            <w:shd w:val="clear" w:color="auto" w:fill="FFFFFF"/>
            <w:vAlign w:val="bottom"/>
          </w:tcPr>
          <w:p w14:paraId="4BAF96A4" w14:textId="77777777" w:rsidR="00A031A6" w:rsidRDefault="00916FD0">
            <w:pPr>
              <w:jc w:val="right"/>
              <w:rPr>
                <w:color w:val="000000"/>
                <w:sz w:val="14"/>
                <w:szCs w:val="14"/>
              </w:rPr>
            </w:pPr>
            <w:r>
              <w:rPr>
                <w:color w:val="000000"/>
                <w:sz w:val="14"/>
                <w:szCs w:val="14"/>
              </w:rPr>
              <w:t>40%</w:t>
            </w:r>
          </w:p>
        </w:tc>
        <w:tc>
          <w:tcPr>
            <w:tcW w:w="1426" w:type="dxa"/>
            <w:gridSpan w:val="2"/>
            <w:tcBorders>
              <w:top w:val="nil"/>
              <w:left w:val="nil"/>
              <w:bottom w:val="nil"/>
              <w:right w:val="nil"/>
            </w:tcBorders>
            <w:shd w:val="clear" w:color="auto" w:fill="FFFFFF"/>
            <w:vAlign w:val="bottom"/>
          </w:tcPr>
          <w:p w14:paraId="2A32DC35" w14:textId="77777777" w:rsidR="00A031A6" w:rsidRDefault="00916FD0">
            <w:pPr>
              <w:jc w:val="right"/>
              <w:rPr>
                <w:color w:val="000000"/>
                <w:sz w:val="14"/>
                <w:szCs w:val="14"/>
              </w:rPr>
            </w:pPr>
            <w:r>
              <w:rPr>
                <w:color w:val="000000"/>
                <w:sz w:val="14"/>
                <w:szCs w:val="14"/>
              </w:rPr>
              <w:t>28,680,951</w:t>
            </w:r>
          </w:p>
        </w:tc>
        <w:tc>
          <w:tcPr>
            <w:tcW w:w="1070" w:type="dxa"/>
            <w:tcBorders>
              <w:top w:val="nil"/>
              <w:left w:val="nil"/>
              <w:bottom w:val="nil"/>
              <w:right w:val="nil"/>
            </w:tcBorders>
            <w:shd w:val="clear" w:color="auto" w:fill="FFFFFF"/>
            <w:vAlign w:val="bottom"/>
          </w:tcPr>
          <w:p w14:paraId="7C36B3CB" w14:textId="77777777" w:rsidR="00A031A6" w:rsidRDefault="00916FD0">
            <w:pPr>
              <w:jc w:val="right"/>
              <w:rPr>
                <w:color w:val="000000"/>
                <w:sz w:val="14"/>
                <w:szCs w:val="14"/>
              </w:rPr>
            </w:pPr>
            <w:r>
              <w:rPr>
                <w:color w:val="000000"/>
                <w:sz w:val="14"/>
                <w:szCs w:val="14"/>
              </w:rPr>
              <w:t>0%</w:t>
            </w:r>
          </w:p>
        </w:tc>
      </w:tr>
      <w:tr w:rsidR="00A031A6" w14:paraId="45C8133C" w14:textId="77777777">
        <w:trPr>
          <w:trHeight w:val="57"/>
        </w:trPr>
        <w:tc>
          <w:tcPr>
            <w:tcW w:w="1560" w:type="dxa"/>
            <w:gridSpan w:val="2"/>
            <w:tcBorders>
              <w:top w:val="nil"/>
              <w:left w:val="nil"/>
              <w:bottom w:val="nil"/>
              <w:right w:val="nil"/>
            </w:tcBorders>
            <w:shd w:val="clear" w:color="auto" w:fill="FFFFFF"/>
            <w:vAlign w:val="bottom"/>
          </w:tcPr>
          <w:p w14:paraId="60C4D3AD" w14:textId="77777777"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14:paraId="79F985E3" w14:textId="77777777" w:rsidR="00A031A6" w:rsidRDefault="00916FD0">
            <w:pPr>
              <w:jc w:val="right"/>
              <w:rPr>
                <w:color w:val="000000"/>
                <w:sz w:val="14"/>
                <w:szCs w:val="14"/>
              </w:rPr>
            </w:pPr>
            <w:r>
              <w:rPr>
                <w:color w:val="000000"/>
                <w:sz w:val="14"/>
                <w:szCs w:val="14"/>
              </w:rPr>
              <w:t>30,453,734</w:t>
            </w:r>
          </w:p>
        </w:tc>
        <w:tc>
          <w:tcPr>
            <w:tcW w:w="1043" w:type="dxa"/>
            <w:gridSpan w:val="2"/>
            <w:tcBorders>
              <w:top w:val="nil"/>
              <w:left w:val="nil"/>
              <w:bottom w:val="nil"/>
              <w:right w:val="nil"/>
            </w:tcBorders>
            <w:shd w:val="clear" w:color="auto" w:fill="FFFFFF"/>
            <w:vAlign w:val="bottom"/>
          </w:tcPr>
          <w:p w14:paraId="749240D6" w14:textId="77777777" w:rsidR="00A031A6" w:rsidRDefault="00916FD0">
            <w:pPr>
              <w:jc w:val="right"/>
              <w:rPr>
                <w:color w:val="000000"/>
                <w:sz w:val="14"/>
                <w:szCs w:val="14"/>
              </w:rPr>
            </w:pPr>
            <w:r>
              <w:rPr>
                <w:color w:val="000000"/>
                <w:sz w:val="14"/>
                <w:szCs w:val="14"/>
              </w:rPr>
              <w:t>28,680,951</w:t>
            </w:r>
          </w:p>
        </w:tc>
        <w:tc>
          <w:tcPr>
            <w:tcW w:w="967" w:type="dxa"/>
            <w:gridSpan w:val="2"/>
            <w:tcBorders>
              <w:top w:val="nil"/>
              <w:left w:val="nil"/>
              <w:bottom w:val="nil"/>
              <w:right w:val="nil"/>
            </w:tcBorders>
            <w:shd w:val="clear" w:color="auto" w:fill="FFFFFF"/>
            <w:vAlign w:val="bottom"/>
          </w:tcPr>
          <w:p w14:paraId="29CE36D2" w14:textId="77777777" w:rsidR="00A031A6" w:rsidRDefault="00916FD0">
            <w:pPr>
              <w:jc w:val="right"/>
              <w:rPr>
                <w:color w:val="000000"/>
                <w:sz w:val="14"/>
                <w:szCs w:val="14"/>
              </w:rPr>
            </w:pPr>
            <w:r>
              <w:rPr>
                <w:color w:val="000000"/>
                <w:sz w:val="14"/>
                <w:szCs w:val="14"/>
              </w:rPr>
              <w:t>3,684,847</w:t>
            </w:r>
          </w:p>
        </w:tc>
        <w:tc>
          <w:tcPr>
            <w:tcW w:w="1510" w:type="dxa"/>
            <w:gridSpan w:val="2"/>
            <w:tcBorders>
              <w:top w:val="nil"/>
              <w:left w:val="nil"/>
              <w:bottom w:val="nil"/>
              <w:right w:val="nil"/>
            </w:tcBorders>
            <w:shd w:val="clear" w:color="auto" w:fill="FFFFFF"/>
            <w:vAlign w:val="bottom"/>
          </w:tcPr>
          <w:p w14:paraId="6719F17A" w14:textId="77777777" w:rsidR="00A031A6" w:rsidRDefault="00916FD0">
            <w:pPr>
              <w:jc w:val="right"/>
              <w:rPr>
                <w:color w:val="000000"/>
                <w:sz w:val="14"/>
                <w:szCs w:val="14"/>
              </w:rPr>
            </w:pPr>
            <w:r>
              <w:rPr>
                <w:color w:val="000000"/>
                <w:sz w:val="14"/>
                <w:szCs w:val="14"/>
              </w:rPr>
              <w:t>1,338,475</w:t>
            </w:r>
          </w:p>
        </w:tc>
        <w:tc>
          <w:tcPr>
            <w:tcW w:w="1254" w:type="dxa"/>
            <w:gridSpan w:val="2"/>
            <w:tcBorders>
              <w:top w:val="nil"/>
              <w:left w:val="nil"/>
              <w:bottom w:val="nil"/>
              <w:right w:val="nil"/>
            </w:tcBorders>
            <w:shd w:val="clear" w:color="auto" w:fill="FFFFFF"/>
            <w:vAlign w:val="bottom"/>
          </w:tcPr>
          <w:p w14:paraId="6951B154" w14:textId="77777777" w:rsidR="00A031A6" w:rsidRDefault="00916FD0">
            <w:pPr>
              <w:jc w:val="right"/>
              <w:rPr>
                <w:color w:val="000000"/>
                <w:sz w:val="14"/>
                <w:szCs w:val="14"/>
              </w:rPr>
            </w:pPr>
            <w:r>
              <w:rPr>
                <w:color w:val="000000"/>
                <w:sz w:val="14"/>
                <w:szCs w:val="14"/>
              </w:rPr>
              <w:t>573,588</w:t>
            </w:r>
          </w:p>
        </w:tc>
        <w:tc>
          <w:tcPr>
            <w:tcW w:w="995" w:type="dxa"/>
            <w:tcBorders>
              <w:top w:val="nil"/>
              <w:left w:val="nil"/>
              <w:bottom w:val="nil"/>
              <w:right w:val="nil"/>
            </w:tcBorders>
            <w:shd w:val="clear" w:color="auto" w:fill="FFFFFF"/>
            <w:vAlign w:val="bottom"/>
          </w:tcPr>
          <w:p w14:paraId="7E0CE5D0" w14:textId="77777777" w:rsidR="00A031A6" w:rsidRDefault="00916FD0">
            <w:pPr>
              <w:jc w:val="right"/>
              <w:rPr>
                <w:color w:val="000000"/>
                <w:sz w:val="14"/>
                <w:szCs w:val="14"/>
              </w:rPr>
            </w:pPr>
            <w:r>
              <w:rPr>
                <w:color w:val="000000"/>
                <w:sz w:val="14"/>
                <w:szCs w:val="14"/>
              </w:rPr>
              <w:t>18,738,655</w:t>
            </w:r>
          </w:p>
        </w:tc>
        <w:tc>
          <w:tcPr>
            <w:tcW w:w="986" w:type="dxa"/>
            <w:gridSpan w:val="2"/>
            <w:tcBorders>
              <w:top w:val="nil"/>
              <w:left w:val="nil"/>
              <w:bottom w:val="nil"/>
              <w:right w:val="nil"/>
            </w:tcBorders>
            <w:shd w:val="clear" w:color="auto" w:fill="FFFFFF"/>
            <w:vAlign w:val="bottom"/>
          </w:tcPr>
          <w:p w14:paraId="4FD957E5" w14:textId="77777777" w:rsidR="00A031A6" w:rsidRDefault="00916FD0">
            <w:pPr>
              <w:jc w:val="right"/>
              <w:rPr>
                <w:color w:val="000000"/>
                <w:sz w:val="14"/>
                <w:szCs w:val="14"/>
              </w:rPr>
            </w:pPr>
            <w:r>
              <w:rPr>
                <w:color w:val="000000"/>
                <w:sz w:val="14"/>
                <w:szCs w:val="14"/>
              </w:rPr>
              <w:t>62%</w:t>
            </w:r>
          </w:p>
        </w:tc>
        <w:tc>
          <w:tcPr>
            <w:tcW w:w="1214" w:type="dxa"/>
            <w:gridSpan w:val="2"/>
            <w:tcBorders>
              <w:top w:val="nil"/>
              <w:left w:val="nil"/>
              <w:bottom w:val="nil"/>
              <w:right w:val="nil"/>
            </w:tcBorders>
            <w:shd w:val="clear" w:color="auto" w:fill="FFFFFF"/>
            <w:vAlign w:val="bottom"/>
          </w:tcPr>
          <w:p w14:paraId="600DC56E" w14:textId="77777777" w:rsidR="00A031A6" w:rsidRDefault="00916FD0">
            <w:pPr>
              <w:jc w:val="right"/>
              <w:rPr>
                <w:color w:val="000000"/>
                <w:sz w:val="14"/>
                <w:szCs w:val="14"/>
              </w:rPr>
            </w:pPr>
            <w:r>
              <w:rPr>
                <w:color w:val="000000"/>
                <w:sz w:val="14"/>
                <w:szCs w:val="14"/>
              </w:rPr>
              <w:t>11,715,079</w:t>
            </w:r>
          </w:p>
        </w:tc>
        <w:tc>
          <w:tcPr>
            <w:tcW w:w="1216" w:type="dxa"/>
            <w:gridSpan w:val="2"/>
            <w:tcBorders>
              <w:top w:val="nil"/>
              <w:left w:val="nil"/>
              <w:bottom w:val="nil"/>
              <w:right w:val="nil"/>
            </w:tcBorders>
            <w:shd w:val="clear" w:color="auto" w:fill="FFFFFF"/>
            <w:vAlign w:val="bottom"/>
          </w:tcPr>
          <w:p w14:paraId="0B5BF39E" w14:textId="77777777" w:rsidR="00A031A6" w:rsidRDefault="00916FD0">
            <w:pPr>
              <w:jc w:val="right"/>
              <w:rPr>
                <w:color w:val="000000"/>
                <w:sz w:val="14"/>
                <w:szCs w:val="14"/>
              </w:rPr>
            </w:pPr>
            <w:r>
              <w:rPr>
                <w:color w:val="000000"/>
                <w:sz w:val="14"/>
                <w:szCs w:val="14"/>
              </w:rPr>
              <w:t>38%</w:t>
            </w:r>
          </w:p>
        </w:tc>
        <w:tc>
          <w:tcPr>
            <w:tcW w:w="988" w:type="dxa"/>
            <w:gridSpan w:val="2"/>
            <w:tcBorders>
              <w:top w:val="nil"/>
              <w:left w:val="nil"/>
              <w:bottom w:val="nil"/>
              <w:right w:val="nil"/>
            </w:tcBorders>
            <w:shd w:val="clear" w:color="auto" w:fill="FFFFFF"/>
            <w:vAlign w:val="bottom"/>
          </w:tcPr>
          <w:p w14:paraId="619DA207" w14:textId="77777777" w:rsidR="00A031A6" w:rsidRDefault="00916FD0">
            <w:pPr>
              <w:jc w:val="right"/>
              <w:rPr>
                <w:color w:val="000000"/>
                <w:sz w:val="14"/>
                <w:szCs w:val="14"/>
              </w:rPr>
            </w:pPr>
            <w:r>
              <w:rPr>
                <w:color w:val="000000"/>
                <w:sz w:val="14"/>
                <w:szCs w:val="14"/>
              </w:rPr>
              <w:t>42%</w:t>
            </w:r>
          </w:p>
        </w:tc>
        <w:tc>
          <w:tcPr>
            <w:tcW w:w="1426" w:type="dxa"/>
            <w:gridSpan w:val="2"/>
            <w:tcBorders>
              <w:top w:val="nil"/>
              <w:left w:val="nil"/>
              <w:bottom w:val="nil"/>
              <w:right w:val="nil"/>
            </w:tcBorders>
            <w:shd w:val="clear" w:color="auto" w:fill="FFFFFF"/>
            <w:vAlign w:val="bottom"/>
          </w:tcPr>
          <w:p w14:paraId="775DD822" w14:textId="77777777" w:rsidR="00A031A6" w:rsidRDefault="00916FD0">
            <w:pPr>
              <w:jc w:val="right"/>
              <w:rPr>
                <w:color w:val="000000"/>
                <w:sz w:val="14"/>
                <w:szCs w:val="14"/>
              </w:rPr>
            </w:pPr>
            <w:r>
              <w:rPr>
                <w:color w:val="000000"/>
                <w:sz w:val="14"/>
                <w:szCs w:val="14"/>
              </w:rPr>
              <w:t>30,453,734</w:t>
            </w:r>
          </w:p>
        </w:tc>
        <w:tc>
          <w:tcPr>
            <w:tcW w:w="1070" w:type="dxa"/>
            <w:tcBorders>
              <w:top w:val="nil"/>
              <w:left w:val="nil"/>
              <w:bottom w:val="nil"/>
              <w:right w:val="nil"/>
            </w:tcBorders>
            <w:shd w:val="clear" w:color="auto" w:fill="FFFFFF"/>
            <w:vAlign w:val="bottom"/>
          </w:tcPr>
          <w:p w14:paraId="66397846" w14:textId="77777777" w:rsidR="00A031A6" w:rsidRDefault="00916FD0">
            <w:pPr>
              <w:jc w:val="right"/>
              <w:rPr>
                <w:color w:val="000000"/>
                <w:sz w:val="14"/>
                <w:szCs w:val="14"/>
              </w:rPr>
            </w:pPr>
            <w:r>
              <w:rPr>
                <w:color w:val="000000"/>
                <w:sz w:val="14"/>
                <w:szCs w:val="14"/>
              </w:rPr>
              <w:t>0%</w:t>
            </w:r>
          </w:p>
        </w:tc>
      </w:tr>
      <w:tr w:rsidR="00A031A6" w14:paraId="53B941EA" w14:textId="77777777">
        <w:trPr>
          <w:trHeight w:val="57"/>
        </w:trPr>
        <w:tc>
          <w:tcPr>
            <w:tcW w:w="1560" w:type="dxa"/>
            <w:gridSpan w:val="2"/>
            <w:tcBorders>
              <w:top w:val="nil"/>
              <w:left w:val="nil"/>
              <w:bottom w:val="nil"/>
              <w:right w:val="nil"/>
            </w:tcBorders>
            <w:shd w:val="clear" w:color="auto" w:fill="FFFFFF"/>
            <w:vAlign w:val="bottom"/>
          </w:tcPr>
          <w:p w14:paraId="2796BDAA" w14:textId="77777777" w:rsidR="00A031A6" w:rsidRDefault="00916FD0">
            <w:pPr>
              <w:jc w:val="right"/>
              <w:rPr>
                <w:color w:val="000000"/>
                <w:sz w:val="14"/>
                <w:szCs w:val="14"/>
              </w:rPr>
            </w:pPr>
            <w:r>
              <w:rPr>
                <w:color w:val="000000"/>
                <w:sz w:val="14"/>
                <w:szCs w:val="14"/>
              </w:rPr>
              <w:t>2026</w:t>
            </w:r>
          </w:p>
        </w:tc>
        <w:tc>
          <w:tcPr>
            <w:tcW w:w="1169" w:type="dxa"/>
            <w:tcBorders>
              <w:top w:val="nil"/>
              <w:left w:val="nil"/>
              <w:bottom w:val="nil"/>
              <w:right w:val="nil"/>
            </w:tcBorders>
            <w:shd w:val="clear" w:color="auto" w:fill="FFFFFF"/>
            <w:vAlign w:val="bottom"/>
          </w:tcPr>
          <w:p w14:paraId="5CF6E691" w14:textId="77777777" w:rsidR="00A031A6" w:rsidRDefault="00916FD0">
            <w:pPr>
              <w:jc w:val="right"/>
              <w:rPr>
                <w:color w:val="000000"/>
                <w:sz w:val="14"/>
                <w:szCs w:val="14"/>
              </w:rPr>
            </w:pPr>
            <w:r>
              <w:rPr>
                <w:color w:val="000000"/>
                <w:sz w:val="14"/>
                <w:szCs w:val="14"/>
              </w:rPr>
              <w:t>32,476,817</w:t>
            </w:r>
          </w:p>
        </w:tc>
        <w:tc>
          <w:tcPr>
            <w:tcW w:w="1043" w:type="dxa"/>
            <w:gridSpan w:val="2"/>
            <w:tcBorders>
              <w:top w:val="nil"/>
              <w:left w:val="nil"/>
              <w:bottom w:val="nil"/>
              <w:right w:val="nil"/>
            </w:tcBorders>
            <w:shd w:val="clear" w:color="auto" w:fill="FFFFFF"/>
            <w:vAlign w:val="bottom"/>
          </w:tcPr>
          <w:p w14:paraId="06F83148" w14:textId="77777777" w:rsidR="00A031A6" w:rsidRDefault="00916FD0">
            <w:pPr>
              <w:jc w:val="right"/>
              <w:rPr>
                <w:color w:val="000000"/>
                <w:sz w:val="14"/>
                <w:szCs w:val="14"/>
              </w:rPr>
            </w:pPr>
            <w:r>
              <w:rPr>
                <w:color w:val="000000"/>
                <w:sz w:val="14"/>
                <w:szCs w:val="14"/>
              </w:rPr>
              <w:t>30,453,734</w:t>
            </w:r>
          </w:p>
        </w:tc>
        <w:tc>
          <w:tcPr>
            <w:tcW w:w="967" w:type="dxa"/>
            <w:gridSpan w:val="2"/>
            <w:tcBorders>
              <w:top w:val="nil"/>
              <w:left w:val="nil"/>
              <w:bottom w:val="nil"/>
              <w:right w:val="nil"/>
            </w:tcBorders>
            <w:shd w:val="clear" w:color="auto" w:fill="FFFFFF"/>
            <w:vAlign w:val="bottom"/>
          </w:tcPr>
          <w:p w14:paraId="7A873A25" w14:textId="77777777" w:rsidR="00A031A6" w:rsidRDefault="00916FD0">
            <w:pPr>
              <w:jc w:val="right"/>
              <w:rPr>
                <w:color w:val="000000"/>
                <w:sz w:val="14"/>
                <w:szCs w:val="14"/>
              </w:rPr>
            </w:pPr>
            <w:r>
              <w:rPr>
                <w:color w:val="000000"/>
                <w:sz w:val="14"/>
                <w:szCs w:val="14"/>
              </w:rPr>
              <w:t>4,053,332</w:t>
            </w:r>
          </w:p>
        </w:tc>
        <w:tc>
          <w:tcPr>
            <w:tcW w:w="1510" w:type="dxa"/>
            <w:gridSpan w:val="2"/>
            <w:tcBorders>
              <w:top w:val="nil"/>
              <w:left w:val="nil"/>
              <w:bottom w:val="nil"/>
              <w:right w:val="nil"/>
            </w:tcBorders>
            <w:shd w:val="clear" w:color="auto" w:fill="FFFFFF"/>
            <w:vAlign w:val="bottom"/>
          </w:tcPr>
          <w:p w14:paraId="30CE96FA" w14:textId="77777777" w:rsidR="00A031A6" w:rsidRDefault="00916FD0">
            <w:pPr>
              <w:jc w:val="right"/>
              <w:rPr>
                <w:color w:val="000000"/>
                <w:sz w:val="14"/>
                <w:szCs w:val="14"/>
              </w:rPr>
            </w:pPr>
            <w:r>
              <w:rPr>
                <w:color w:val="000000"/>
                <w:sz w:val="14"/>
                <w:szCs w:val="14"/>
              </w:rPr>
              <w:t>1,249,244</w:t>
            </w:r>
          </w:p>
        </w:tc>
        <w:tc>
          <w:tcPr>
            <w:tcW w:w="1254" w:type="dxa"/>
            <w:gridSpan w:val="2"/>
            <w:tcBorders>
              <w:top w:val="nil"/>
              <w:left w:val="nil"/>
              <w:bottom w:val="nil"/>
              <w:right w:val="nil"/>
            </w:tcBorders>
            <w:shd w:val="clear" w:color="auto" w:fill="FFFFFF"/>
            <w:vAlign w:val="bottom"/>
          </w:tcPr>
          <w:p w14:paraId="0082C047" w14:textId="77777777" w:rsidR="00A031A6" w:rsidRDefault="00916FD0">
            <w:pPr>
              <w:jc w:val="right"/>
              <w:rPr>
                <w:color w:val="000000"/>
                <w:sz w:val="14"/>
                <w:szCs w:val="14"/>
              </w:rPr>
            </w:pPr>
            <w:r>
              <w:rPr>
                <w:color w:val="000000"/>
                <w:sz w:val="14"/>
                <w:szCs w:val="14"/>
              </w:rPr>
              <w:t>781,005</w:t>
            </w:r>
          </w:p>
        </w:tc>
        <w:tc>
          <w:tcPr>
            <w:tcW w:w="995" w:type="dxa"/>
            <w:tcBorders>
              <w:top w:val="nil"/>
              <w:left w:val="nil"/>
              <w:bottom w:val="nil"/>
              <w:right w:val="nil"/>
            </w:tcBorders>
            <w:shd w:val="clear" w:color="auto" w:fill="FFFFFF"/>
            <w:vAlign w:val="bottom"/>
          </w:tcPr>
          <w:p w14:paraId="331713E6" w14:textId="77777777" w:rsidR="00A031A6" w:rsidRDefault="00916FD0">
            <w:pPr>
              <w:jc w:val="right"/>
              <w:rPr>
                <w:color w:val="000000"/>
                <w:sz w:val="14"/>
                <w:szCs w:val="14"/>
              </w:rPr>
            </w:pPr>
            <w:r>
              <w:rPr>
                <w:color w:val="000000"/>
                <w:sz w:val="14"/>
                <w:szCs w:val="14"/>
              </w:rPr>
              <w:t>17,489,411</w:t>
            </w:r>
          </w:p>
        </w:tc>
        <w:tc>
          <w:tcPr>
            <w:tcW w:w="986" w:type="dxa"/>
            <w:gridSpan w:val="2"/>
            <w:tcBorders>
              <w:top w:val="nil"/>
              <w:left w:val="nil"/>
              <w:bottom w:val="nil"/>
              <w:right w:val="nil"/>
            </w:tcBorders>
            <w:shd w:val="clear" w:color="auto" w:fill="FFFFFF"/>
            <w:vAlign w:val="bottom"/>
          </w:tcPr>
          <w:p w14:paraId="17632990" w14:textId="77777777" w:rsidR="00A031A6" w:rsidRDefault="00916FD0">
            <w:pPr>
              <w:jc w:val="right"/>
              <w:rPr>
                <w:color w:val="000000"/>
                <w:sz w:val="14"/>
                <w:szCs w:val="14"/>
              </w:rPr>
            </w:pPr>
            <w:r>
              <w:rPr>
                <w:color w:val="000000"/>
                <w:sz w:val="14"/>
                <w:szCs w:val="14"/>
              </w:rPr>
              <w:t>54%</w:t>
            </w:r>
          </w:p>
        </w:tc>
        <w:tc>
          <w:tcPr>
            <w:tcW w:w="1214" w:type="dxa"/>
            <w:gridSpan w:val="2"/>
            <w:tcBorders>
              <w:top w:val="nil"/>
              <w:left w:val="nil"/>
              <w:bottom w:val="nil"/>
              <w:right w:val="nil"/>
            </w:tcBorders>
            <w:shd w:val="clear" w:color="auto" w:fill="FFFFFF"/>
            <w:vAlign w:val="bottom"/>
          </w:tcPr>
          <w:p w14:paraId="523E3178" w14:textId="77777777" w:rsidR="00A031A6" w:rsidRDefault="00916FD0">
            <w:pPr>
              <w:jc w:val="right"/>
              <w:rPr>
                <w:color w:val="000000"/>
                <w:sz w:val="14"/>
                <w:szCs w:val="14"/>
              </w:rPr>
            </w:pPr>
            <w:r>
              <w:rPr>
                <w:color w:val="000000"/>
                <w:sz w:val="14"/>
                <w:szCs w:val="14"/>
              </w:rPr>
              <w:t>14,987,406</w:t>
            </w:r>
          </w:p>
        </w:tc>
        <w:tc>
          <w:tcPr>
            <w:tcW w:w="1216" w:type="dxa"/>
            <w:gridSpan w:val="2"/>
            <w:tcBorders>
              <w:top w:val="nil"/>
              <w:left w:val="nil"/>
              <w:bottom w:val="nil"/>
              <w:right w:val="nil"/>
            </w:tcBorders>
            <w:shd w:val="clear" w:color="auto" w:fill="FFFFFF"/>
            <w:vAlign w:val="bottom"/>
          </w:tcPr>
          <w:p w14:paraId="36FCBAF9" w14:textId="77777777" w:rsidR="00A031A6" w:rsidRDefault="00916FD0">
            <w:pPr>
              <w:jc w:val="right"/>
              <w:rPr>
                <w:color w:val="000000"/>
                <w:sz w:val="14"/>
                <w:szCs w:val="14"/>
              </w:rPr>
            </w:pPr>
            <w:r>
              <w:rPr>
                <w:color w:val="000000"/>
                <w:sz w:val="14"/>
                <w:szCs w:val="14"/>
              </w:rPr>
              <w:t>46%</w:t>
            </w:r>
          </w:p>
        </w:tc>
        <w:tc>
          <w:tcPr>
            <w:tcW w:w="988" w:type="dxa"/>
            <w:gridSpan w:val="2"/>
            <w:tcBorders>
              <w:top w:val="nil"/>
              <w:left w:val="nil"/>
              <w:bottom w:val="nil"/>
              <w:right w:val="nil"/>
            </w:tcBorders>
            <w:shd w:val="clear" w:color="auto" w:fill="FFFFFF"/>
            <w:vAlign w:val="bottom"/>
          </w:tcPr>
          <w:p w14:paraId="189DB3AF" w14:textId="77777777" w:rsidR="00A031A6" w:rsidRDefault="00916FD0">
            <w:pPr>
              <w:jc w:val="right"/>
              <w:rPr>
                <w:color w:val="000000"/>
                <w:sz w:val="14"/>
                <w:szCs w:val="14"/>
              </w:rPr>
            </w:pPr>
            <w:r>
              <w:rPr>
                <w:color w:val="000000"/>
                <w:sz w:val="14"/>
                <w:szCs w:val="14"/>
              </w:rPr>
              <w:t>44%</w:t>
            </w:r>
          </w:p>
        </w:tc>
        <w:tc>
          <w:tcPr>
            <w:tcW w:w="1426" w:type="dxa"/>
            <w:gridSpan w:val="2"/>
            <w:tcBorders>
              <w:top w:val="nil"/>
              <w:left w:val="nil"/>
              <w:bottom w:val="nil"/>
              <w:right w:val="nil"/>
            </w:tcBorders>
            <w:shd w:val="clear" w:color="auto" w:fill="FFFFFF"/>
            <w:vAlign w:val="bottom"/>
          </w:tcPr>
          <w:p w14:paraId="7502F027" w14:textId="77777777" w:rsidR="00A031A6" w:rsidRDefault="00916FD0">
            <w:pPr>
              <w:jc w:val="right"/>
              <w:rPr>
                <w:color w:val="000000"/>
                <w:sz w:val="14"/>
                <w:szCs w:val="14"/>
              </w:rPr>
            </w:pPr>
            <w:r>
              <w:rPr>
                <w:color w:val="000000"/>
                <w:sz w:val="14"/>
                <w:szCs w:val="14"/>
              </w:rPr>
              <w:t>32,476,817</w:t>
            </w:r>
          </w:p>
        </w:tc>
        <w:tc>
          <w:tcPr>
            <w:tcW w:w="1070" w:type="dxa"/>
            <w:tcBorders>
              <w:top w:val="nil"/>
              <w:left w:val="nil"/>
              <w:bottom w:val="nil"/>
              <w:right w:val="nil"/>
            </w:tcBorders>
            <w:shd w:val="clear" w:color="auto" w:fill="FFFFFF"/>
            <w:vAlign w:val="bottom"/>
          </w:tcPr>
          <w:p w14:paraId="0CC3EF1F" w14:textId="77777777" w:rsidR="00A031A6" w:rsidRDefault="00916FD0">
            <w:pPr>
              <w:jc w:val="right"/>
              <w:rPr>
                <w:color w:val="000000"/>
                <w:sz w:val="14"/>
                <w:szCs w:val="14"/>
              </w:rPr>
            </w:pPr>
            <w:r>
              <w:rPr>
                <w:color w:val="000000"/>
                <w:sz w:val="14"/>
                <w:szCs w:val="14"/>
              </w:rPr>
              <w:t>0%</w:t>
            </w:r>
          </w:p>
        </w:tc>
      </w:tr>
      <w:tr w:rsidR="00A031A6" w14:paraId="133E60E4" w14:textId="77777777">
        <w:trPr>
          <w:trHeight w:val="57"/>
        </w:trPr>
        <w:tc>
          <w:tcPr>
            <w:tcW w:w="1560" w:type="dxa"/>
            <w:gridSpan w:val="2"/>
            <w:tcBorders>
              <w:top w:val="nil"/>
              <w:left w:val="nil"/>
              <w:bottom w:val="nil"/>
              <w:right w:val="nil"/>
            </w:tcBorders>
            <w:shd w:val="clear" w:color="auto" w:fill="FFFFFF"/>
            <w:vAlign w:val="bottom"/>
          </w:tcPr>
          <w:p w14:paraId="05229D0E" w14:textId="77777777"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14:paraId="1BEFDCE8" w14:textId="77777777" w:rsidR="00A031A6" w:rsidRDefault="00916FD0">
            <w:pPr>
              <w:jc w:val="right"/>
              <w:rPr>
                <w:color w:val="000000"/>
                <w:sz w:val="14"/>
                <w:szCs w:val="14"/>
              </w:rPr>
            </w:pPr>
            <w:r>
              <w:rPr>
                <w:color w:val="000000"/>
                <w:sz w:val="14"/>
                <w:szCs w:val="14"/>
              </w:rPr>
              <w:t>34,770,360</w:t>
            </w:r>
          </w:p>
        </w:tc>
        <w:tc>
          <w:tcPr>
            <w:tcW w:w="1043" w:type="dxa"/>
            <w:gridSpan w:val="2"/>
            <w:tcBorders>
              <w:top w:val="nil"/>
              <w:left w:val="nil"/>
              <w:bottom w:val="nil"/>
              <w:right w:val="nil"/>
            </w:tcBorders>
            <w:shd w:val="clear" w:color="auto" w:fill="FFFFFF"/>
            <w:vAlign w:val="bottom"/>
          </w:tcPr>
          <w:p w14:paraId="5BFA7A4F" w14:textId="77777777" w:rsidR="00A031A6" w:rsidRDefault="00916FD0">
            <w:pPr>
              <w:jc w:val="right"/>
              <w:rPr>
                <w:color w:val="000000"/>
                <w:sz w:val="14"/>
                <w:szCs w:val="14"/>
              </w:rPr>
            </w:pPr>
            <w:r>
              <w:rPr>
                <w:color w:val="000000"/>
                <w:sz w:val="14"/>
                <w:szCs w:val="14"/>
              </w:rPr>
              <w:t>32,476,817</w:t>
            </w:r>
          </w:p>
        </w:tc>
        <w:tc>
          <w:tcPr>
            <w:tcW w:w="967" w:type="dxa"/>
            <w:gridSpan w:val="2"/>
            <w:tcBorders>
              <w:top w:val="nil"/>
              <w:left w:val="nil"/>
              <w:bottom w:val="nil"/>
              <w:right w:val="nil"/>
            </w:tcBorders>
            <w:shd w:val="clear" w:color="auto" w:fill="FFFFFF"/>
            <w:vAlign w:val="bottom"/>
          </w:tcPr>
          <w:p w14:paraId="33331439" w14:textId="77777777" w:rsidR="00A031A6" w:rsidRDefault="00916FD0">
            <w:pPr>
              <w:jc w:val="right"/>
              <w:rPr>
                <w:color w:val="000000"/>
                <w:sz w:val="14"/>
                <w:szCs w:val="14"/>
              </w:rPr>
            </w:pPr>
            <w:r>
              <w:rPr>
                <w:color w:val="000000"/>
                <w:sz w:val="14"/>
                <w:szCs w:val="14"/>
              </w:rPr>
              <w:t>4,458,665</w:t>
            </w:r>
          </w:p>
        </w:tc>
        <w:tc>
          <w:tcPr>
            <w:tcW w:w="1510" w:type="dxa"/>
            <w:gridSpan w:val="2"/>
            <w:tcBorders>
              <w:top w:val="nil"/>
              <w:left w:val="nil"/>
              <w:bottom w:val="nil"/>
              <w:right w:val="nil"/>
            </w:tcBorders>
            <w:shd w:val="clear" w:color="auto" w:fill="FFFFFF"/>
            <w:vAlign w:val="bottom"/>
          </w:tcPr>
          <w:p w14:paraId="499B9B49" w14:textId="77777777" w:rsidR="00A031A6" w:rsidRDefault="00916FD0">
            <w:pPr>
              <w:jc w:val="right"/>
              <w:rPr>
                <w:color w:val="000000"/>
                <w:sz w:val="14"/>
                <w:szCs w:val="14"/>
              </w:rPr>
            </w:pPr>
            <w:r>
              <w:rPr>
                <w:color w:val="000000"/>
                <w:sz w:val="14"/>
                <w:szCs w:val="14"/>
              </w:rPr>
              <w:t>1,165,961</w:t>
            </w:r>
          </w:p>
        </w:tc>
        <w:tc>
          <w:tcPr>
            <w:tcW w:w="1254" w:type="dxa"/>
            <w:gridSpan w:val="2"/>
            <w:tcBorders>
              <w:top w:val="nil"/>
              <w:left w:val="nil"/>
              <w:bottom w:val="nil"/>
              <w:right w:val="nil"/>
            </w:tcBorders>
            <w:shd w:val="clear" w:color="auto" w:fill="FFFFFF"/>
            <w:vAlign w:val="bottom"/>
          </w:tcPr>
          <w:p w14:paraId="71A10B6B" w14:textId="77777777" w:rsidR="00A031A6" w:rsidRDefault="00916FD0">
            <w:pPr>
              <w:jc w:val="right"/>
              <w:rPr>
                <w:color w:val="000000"/>
                <w:sz w:val="14"/>
                <w:szCs w:val="14"/>
              </w:rPr>
            </w:pPr>
            <w:r>
              <w:rPr>
                <w:color w:val="000000"/>
                <w:sz w:val="14"/>
                <w:szCs w:val="14"/>
              </w:rPr>
              <w:t>999,160</w:t>
            </w:r>
          </w:p>
        </w:tc>
        <w:tc>
          <w:tcPr>
            <w:tcW w:w="995" w:type="dxa"/>
            <w:tcBorders>
              <w:top w:val="nil"/>
              <w:left w:val="nil"/>
              <w:bottom w:val="nil"/>
              <w:right w:val="nil"/>
            </w:tcBorders>
            <w:shd w:val="clear" w:color="auto" w:fill="FFFFFF"/>
            <w:vAlign w:val="bottom"/>
          </w:tcPr>
          <w:p w14:paraId="4A400826" w14:textId="77777777" w:rsidR="00A031A6" w:rsidRDefault="00916FD0">
            <w:pPr>
              <w:jc w:val="right"/>
              <w:rPr>
                <w:color w:val="000000"/>
                <w:sz w:val="14"/>
                <w:szCs w:val="14"/>
              </w:rPr>
            </w:pPr>
            <w:r>
              <w:rPr>
                <w:color w:val="000000"/>
                <w:sz w:val="14"/>
                <w:szCs w:val="14"/>
              </w:rPr>
              <w:t>16,323,450</w:t>
            </w:r>
          </w:p>
        </w:tc>
        <w:tc>
          <w:tcPr>
            <w:tcW w:w="986" w:type="dxa"/>
            <w:gridSpan w:val="2"/>
            <w:tcBorders>
              <w:top w:val="nil"/>
              <w:left w:val="nil"/>
              <w:bottom w:val="nil"/>
              <w:right w:val="nil"/>
            </w:tcBorders>
            <w:shd w:val="clear" w:color="auto" w:fill="FFFFFF"/>
            <w:vAlign w:val="bottom"/>
          </w:tcPr>
          <w:p w14:paraId="15857273" w14:textId="77777777" w:rsidR="00A031A6" w:rsidRDefault="00916FD0">
            <w:pPr>
              <w:jc w:val="right"/>
              <w:rPr>
                <w:color w:val="000000"/>
                <w:sz w:val="14"/>
                <w:szCs w:val="14"/>
              </w:rPr>
            </w:pPr>
            <w:r>
              <w:rPr>
                <w:color w:val="000000"/>
                <w:sz w:val="14"/>
                <w:szCs w:val="14"/>
              </w:rPr>
              <w:t>47%</w:t>
            </w:r>
          </w:p>
        </w:tc>
        <w:tc>
          <w:tcPr>
            <w:tcW w:w="1214" w:type="dxa"/>
            <w:gridSpan w:val="2"/>
            <w:tcBorders>
              <w:top w:val="nil"/>
              <w:left w:val="nil"/>
              <w:bottom w:val="nil"/>
              <w:right w:val="nil"/>
            </w:tcBorders>
            <w:shd w:val="clear" w:color="auto" w:fill="FFFFFF"/>
            <w:vAlign w:val="bottom"/>
          </w:tcPr>
          <w:p w14:paraId="3B8454AF" w14:textId="77777777" w:rsidR="00A031A6" w:rsidRDefault="00916FD0">
            <w:pPr>
              <w:jc w:val="right"/>
              <w:rPr>
                <w:color w:val="000000"/>
                <w:sz w:val="14"/>
                <w:szCs w:val="14"/>
              </w:rPr>
            </w:pPr>
            <w:r>
              <w:rPr>
                <w:color w:val="000000"/>
                <w:sz w:val="14"/>
                <w:szCs w:val="14"/>
              </w:rPr>
              <w:t>18,446,910</w:t>
            </w:r>
          </w:p>
        </w:tc>
        <w:tc>
          <w:tcPr>
            <w:tcW w:w="1216" w:type="dxa"/>
            <w:gridSpan w:val="2"/>
            <w:tcBorders>
              <w:top w:val="nil"/>
              <w:left w:val="nil"/>
              <w:bottom w:val="nil"/>
              <w:right w:val="nil"/>
            </w:tcBorders>
            <w:shd w:val="clear" w:color="auto" w:fill="FFFFFF"/>
            <w:vAlign w:val="bottom"/>
          </w:tcPr>
          <w:p w14:paraId="5EB18C2C" w14:textId="77777777" w:rsidR="00A031A6" w:rsidRDefault="00916FD0">
            <w:pPr>
              <w:jc w:val="right"/>
              <w:rPr>
                <w:color w:val="000000"/>
                <w:sz w:val="14"/>
                <w:szCs w:val="14"/>
              </w:rPr>
            </w:pPr>
            <w:r>
              <w:rPr>
                <w:color w:val="000000"/>
                <w:sz w:val="14"/>
                <w:szCs w:val="14"/>
              </w:rPr>
              <w:t>53%</w:t>
            </w:r>
          </w:p>
        </w:tc>
        <w:tc>
          <w:tcPr>
            <w:tcW w:w="988" w:type="dxa"/>
            <w:gridSpan w:val="2"/>
            <w:tcBorders>
              <w:top w:val="nil"/>
              <w:left w:val="nil"/>
              <w:bottom w:val="nil"/>
              <w:right w:val="nil"/>
            </w:tcBorders>
            <w:shd w:val="clear" w:color="auto" w:fill="FFFFFF"/>
            <w:vAlign w:val="bottom"/>
          </w:tcPr>
          <w:p w14:paraId="5C5B6294" w14:textId="77777777" w:rsidR="00A031A6" w:rsidRDefault="00916FD0">
            <w:pPr>
              <w:jc w:val="right"/>
              <w:rPr>
                <w:color w:val="000000"/>
                <w:sz w:val="14"/>
                <w:szCs w:val="14"/>
              </w:rPr>
            </w:pPr>
            <w:r>
              <w:rPr>
                <w:color w:val="000000"/>
                <w:sz w:val="14"/>
                <w:szCs w:val="14"/>
              </w:rPr>
              <w:t>47%</w:t>
            </w:r>
          </w:p>
        </w:tc>
        <w:tc>
          <w:tcPr>
            <w:tcW w:w="1426" w:type="dxa"/>
            <w:gridSpan w:val="2"/>
            <w:tcBorders>
              <w:top w:val="nil"/>
              <w:left w:val="nil"/>
              <w:bottom w:val="nil"/>
              <w:right w:val="nil"/>
            </w:tcBorders>
            <w:shd w:val="clear" w:color="auto" w:fill="FFFFFF"/>
            <w:vAlign w:val="bottom"/>
          </w:tcPr>
          <w:p w14:paraId="38E1A580" w14:textId="77777777" w:rsidR="00A031A6" w:rsidRDefault="00916FD0">
            <w:pPr>
              <w:jc w:val="right"/>
              <w:rPr>
                <w:color w:val="000000"/>
                <w:sz w:val="14"/>
                <w:szCs w:val="14"/>
              </w:rPr>
            </w:pPr>
            <w:r>
              <w:rPr>
                <w:color w:val="000000"/>
                <w:sz w:val="14"/>
                <w:szCs w:val="14"/>
              </w:rPr>
              <w:t>34,770,360</w:t>
            </w:r>
          </w:p>
        </w:tc>
        <w:tc>
          <w:tcPr>
            <w:tcW w:w="1070" w:type="dxa"/>
            <w:tcBorders>
              <w:top w:val="nil"/>
              <w:left w:val="nil"/>
              <w:bottom w:val="nil"/>
              <w:right w:val="nil"/>
            </w:tcBorders>
            <w:shd w:val="clear" w:color="auto" w:fill="FFFFFF"/>
            <w:vAlign w:val="bottom"/>
          </w:tcPr>
          <w:p w14:paraId="43970241" w14:textId="77777777" w:rsidR="00A031A6" w:rsidRDefault="00916FD0">
            <w:pPr>
              <w:jc w:val="right"/>
              <w:rPr>
                <w:color w:val="000000"/>
                <w:sz w:val="14"/>
                <w:szCs w:val="14"/>
              </w:rPr>
            </w:pPr>
            <w:r>
              <w:rPr>
                <w:color w:val="000000"/>
                <w:sz w:val="14"/>
                <w:szCs w:val="14"/>
              </w:rPr>
              <w:t>0%</w:t>
            </w:r>
          </w:p>
        </w:tc>
      </w:tr>
      <w:tr w:rsidR="00A031A6" w14:paraId="490D472A" w14:textId="77777777">
        <w:trPr>
          <w:trHeight w:val="57"/>
        </w:trPr>
        <w:tc>
          <w:tcPr>
            <w:tcW w:w="1560" w:type="dxa"/>
            <w:gridSpan w:val="2"/>
            <w:tcBorders>
              <w:top w:val="nil"/>
              <w:left w:val="nil"/>
              <w:bottom w:val="nil"/>
              <w:right w:val="nil"/>
            </w:tcBorders>
            <w:shd w:val="clear" w:color="auto" w:fill="FFFFFF"/>
            <w:vAlign w:val="bottom"/>
          </w:tcPr>
          <w:p w14:paraId="5B17C62C" w14:textId="77777777"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14:paraId="3A1A5A6E" w14:textId="77777777" w:rsidR="00A031A6" w:rsidRDefault="00916FD0">
            <w:pPr>
              <w:jc w:val="right"/>
              <w:rPr>
                <w:color w:val="000000"/>
                <w:sz w:val="14"/>
                <w:szCs w:val="14"/>
              </w:rPr>
            </w:pPr>
            <w:r>
              <w:rPr>
                <w:color w:val="000000"/>
                <w:sz w:val="14"/>
                <w:szCs w:val="14"/>
              </w:rPr>
              <w:t>37,356,868</w:t>
            </w:r>
          </w:p>
        </w:tc>
        <w:tc>
          <w:tcPr>
            <w:tcW w:w="1043" w:type="dxa"/>
            <w:gridSpan w:val="2"/>
            <w:tcBorders>
              <w:top w:val="nil"/>
              <w:left w:val="nil"/>
              <w:bottom w:val="nil"/>
              <w:right w:val="nil"/>
            </w:tcBorders>
            <w:shd w:val="clear" w:color="auto" w:fill="FFFFFF"/>
            <w:vAlign w:val="bottom"/>
          </w:tcPr>
          <w:p w14:paraId="200BFCA3" w14:textId="77777777" w:rsidR="00A031A6" w:rsidRDefault="00916FD0">
            <w:pPr>
              <w:jc w:val="right"/>
              <w:rPr>
                <w:color w:val="000000"/>
                <w:sz w:val="14"/>
                <w:szCs w:val="14"/>
              </w:rPr>
            </w:pPr>
            <w:r>
              <w:rPr>
                <w:color w:val="000000"/>
                <w:sz w:val="14"/>
                <w:szCs w:val="14"/>
              </w:rPr>
              <w:t>34,770,360</w:t>
            </w:r>
          </w:p>
        </w:tc>
        <w:tc>
          <w:tcPr>
            <w:tcW w:w="967" w:type="dxa"/>
            <w:gridSpan w:val="2"/>
            <w:tcBorders>
              <w:top w:val="nil"/>
              <w:left w:val="nil"/>
              <w:bottom w:val="nil"/>
              <w:right w:val="nil"/>
            </w:tcBorders>
            <w:shd w:val="clear" w:color="auto" w:fill="FFFFFF"/>
            <w:vAlign w:val="bottom"/>
          </w:tcPr>
          <w:p w14:paraId="06E7C86B" w14:textId="77777777" w:rsidR="00A031A6" w:rsidRDefault="00916FD0">
            <w:pPr>
              <w:jc w:val="right"/>
              <w:rPr>
                <w:color w:val="000000"/>
                <w:sz w:val="14"/>
                <w:szCs w:val="14"/>
              </w:rPr>
            </w:pPr>
            <w:r>
              <w:rPr>
                <w:color w:val="000000"/>
                <w:sz w:val="14"/>
                <w:szCs w:val="14"/>
              </w:rPr>
              <w:t>4,904,531</w:t>
            </w:r>
          </w:p>
        </w:tc>
        <w:tc>
          <w:tcPr>
            <w:tcW w:w="1510" w:type="dxa"/>
            <w:gridSpan w:val="2"/>
            <w:tcBorders>
              <w:top w:val="nil"/>
              <w:left w:val="nil"/>
              <w:bottom w:val="nil"/>
              <w:right w:val="nil"/>
            </w:tcBorders>
            <w:shd w:val="clear" w:color="auto" w:fill="FFFFFF"/>
            <w:vAlign w:val="bottom"/>
          </w:tcPr>
          <w:p w14:paraId="05006420" w14:textId="77777777" w:rsidR="00A031A6" w:rsidRDefault="00916FD0">
            <w:pPr>
              <w:jc w:val="right"/>
              <w:rPr>
                <w:color w:val="000000"/>
                <w:sz w:val="14"/>
                <w:szCs w:val="14"/>
              </w:rPr>
            </w:pPr>
            <w:r>
              <w:rPr>
                <w:color w:val="000000"/>
                <w:sz w:val="14"/>
                <w:szCs w:val="14"/>
              </w:rPr>
              <w:t>1,088,230</w:t>
            </w:r>
          </w:p>
        </w:tc>
        <w:tc>
          <w:tcPr>
            <w:tcW w:w="1254" w:type="dxa"/>
            <w:gridSpan w:val="2"/>
            <w:tcBorders>
              <w:top w:val="nil"/>
              <w:left w:val="nil"/>
              <w:bottom w:val="nil"/>
              <w:right w:val="nil"/>
            </w:tcBorders>
            <w:shd w:val="clear" w:color="auto" w:fill="FFFFFF"/>
            <w:vAlign w:val="bottom"/>
          </w:tcPr>
          <w:p w14:paraId="7B0DDC63" w14:textId="77777777" w:rsidR="00A031A6" w:rsidRDefault="00916FD0">
            <w:pPr>
              <w:jc w:val="right"/>
              <w:rPr>
                <w:color w:val="000000"/>
                <w:sz w:val="14"/>
                <w:szCs w:val="14"/>
              </w:rPr>
            </w:pPr>
            <w:r>
              <w:rPr>
                <w:color w:val="000000"/>
                <w:sz w:val="14"/>
                <w:szCs w:val="14"/>
              </w:rPr>
              <w:t>1,229,794</w:t>
            </w:r>
          </w:p>
        </w:tc>
        <w:tc>
          <w:tcPr>
            <w:tcW w:w="995" w:type="dxa"/>
            <w:tcBorders>
              <w:top w:val="nil"/>
              <w:left w:val="nil"/>
              <w:bottom w:val="nil"/>
              <w:right w:val="nil"/>
            </w:tcBorders>
            <w:shd w:val="clear" w:color="auto" w:fill="FFFFFF"/>
            <w:vAlign w:val="bottom"/>
          </w:tcPr>
          <w:p w14:paraId="5DCCCE14" w14:textId="77777777" w:rsidR="00A031A6" w:rsidRDefault="00916FD0">
            <w:pPr>
              <w:jc w:val="right"/>
              <w:rPr>
                <w:color w:val="000000"/>
                <w:sz w:val="14"/>
                <w:szCs w:val="14"/>
              </w:rPr>
            </w:pPr>
            <w:r>
              <w:rPr>
                <w:color w:val="000000"/>
                <w:sz w:val="14"/>
                <w:szCs w:val="14"/>
              </w:rPr>
              <w:t>15,235,220</w:t>
            </w:r>
          </w:p>
        </w:tc>
        <w:tc>
          <w:tcPr>
            <w:tcW w:w="986" w:type="dxa"/>
            <w:gridSpan w:val="2"/>
            <w:tcBorders>
              <w:top w:val="nil"/>
              <w:left w:val="nil"/>
              <w:bottom w:val="nil"/>
              <w:right w:val="nil"/>
            </w:tcBorders>
            <w:shd w:val="clear" w:color="auto" w:fill="FFFFFF"/>
            <w:vAlign w:val="bottom"/>
          </w:tcPr>
          <w:p w14:paraId="150AC8E2" w14:textId="77777777" w:rsidR="00A031A6" w:rsidRDefault="00916FD0">
            <w:pPr>
              <w:jc w:val="right"/>
              <w:rPr>
                <w:color w:val="000000"/>
                <w:sz w:val="14"/>
                <w:szCs w:val="14"/>
              </w:rPr>
            </w:pPr>
            <w:r>
              <w:rPr>
                <w:color w:val="000000"/>
                <w:sz w:val="14"/>
                <w:szCs w:val="14"/>
              </w:rPr>
              <w:t>41%</w:t>
            </w:r>
          </w:p>
        </w:tc>
        <w:tc>
          <w:tcPr>
            <w:tcW w:w="1214" w:type="dxa"/>
            <w:gridSpan w:val="2"/>
            <w:tcBorders>
              <w:top w:val="nil"/>
              <w:left w:val="nil"/>
              <w:bottom w:val="nil"/>
              <w:right w:val="nil"/>
            </w:tcBorders>
            <w:shd w:val="clear" w:color="auto" w:fill="FFFFFF"/>
            <w:vAlign w:val="bottom"/>
          </w:tcPr>
          <w:p w14:paraId="59C943FE" w14:textId="77777777" w:rsidR="00A031A6" w:rsidRDefault="00916FD0">
            <w:pPr>
              <w:jc w:val="right"/>
              <w:rPr>
                <w:color w:val="000000"/>
                <w:sz w:val="14"/>
                <w:szCs w:val="14"/>
              </w:rPr>
            </w:pPr>
            <w:r>
              <w:rPr>
                <w:color w:val="000000"/>
                <w:sz w:val="14"/>
                <w:szCs w:val="14"/>
              </w:rPr>
              <w:t>22,121,647</w:t>
            </w:r>
          </w:p>
        </w:tc>
        <w:tc>
          <w:tcPr>
            <w:tcW w:w="1216" w:type="dxa"/>
            <w:gridSpan w:val="2"/>
            <w:tcBorders>
              <w:top w:val="nil"/>
              <w:left w:val="nil"/>
              <w:bottom w:val="nil"/>
              <w:right w:val="nil"/>
            </w:tcBorders>
            <w:shd w:val="clear" w:color="auto" w:fill="FFFFFF"/>
            <w:vAlign w:val="bottom"/>
          </w:tcPr>
          <w:p w14:paraId="19424277" w14:textId="77777777" w:rsidR="00A031A6" w:rsidRDefault="00916FD0">
            <w:pPr>
              <w:jc w:val="right"/>
              <w:rPr>
                <w:color w:val="000000"/>
                <w:sz w:val="14"/>
                <w:szCs w:val="14"/>
              </w:rPr>
            </w:pPr>
            <w:r>
              <w:rPr>
                <w:color w:val="000000"/>
                <w:sz w:val="14"/>
                <w:szCs w:val="14"/>
              </w:rPr>
              <w:t>59%</w:t>
            </w:r>
          </w:p>
        </w:tc>
        <w:tc>
          <w:tcPr>
            <w:tcW w:w="988" w:type="dxa"/>
            <w:gridSpan w:val="2"/>
            <w:tcBorders>
              <w:top w:val="nil"/>
              <w:left w:val="nil"/>
              <w:bottom w:val="nil"/>
              <w:right w:val="nil"/>
            </w:tcBorders>
            <w:shd w:val="clear" w:color="auto" w:fill="FFFFFF"/>
            <w:vAlign w:val="bottom"/>
          </w:tcPr>
          <w:p w14:paraId="1DFC84E2" w14:textId="77777777" w:rsidR="00A031A6" w:rsidRDefault="00916FD0">
            <w:pPr>
              <w:jc w:val="right"/>
              <w:rPr>
                <w:color w:val="000000"/>
                <w:sz w:val="14"/>
                <w:szCs w:val="14"/>
              </w:rPr>
            </w:pPr>
            <w:r>
              <w:rPr>
                <w:color w:val="000000"/>
                <w:sz w:val="14"/>
                <w:szCs w:val="14"/>
              </w:rPr>
              <w:t>50%</w:t>
            </w:r>
          </w:p>
        </w:tc>
        <w:tc>
          <w:tcPr>
            <w:tcW w:w="1426" w:type="dxa"/>
            <w:gridSpan w:val="2"/>
            <w:tcBorders>
              <w:top w:val="nil"/>
              <w:left w:val="nil"/>
              <w:bottom w:val="nil"/>
              <w:right w:val="nil"/>
            </w:tcBorders>
            <w:shd w:val="clear" w:color="auto" w:fill="FFFFFF"/>
            <w:vAlign w:val="bottom"/>
          </w:tcPr>
          <w:p w14:paraId="7B8287AC" w14:textId="77777777" w:rsidR="00A031A6" w:rsidRDefault="00916FD0">
            <w:pPr>
              <w:jc w:val="right"/>
              <w:rPr>
                <w:color w:val="000000"/>
                <w:sz w:val="14"/>
                <w:szCs w:val="14"/>
              </w:rPr>
            </w:pPr>
            <w:r>
              <w:rPr>
                <w:color w:val="000000"/>
                <w:sz w:val="14"/>
                <w:szCs w:val="14"/>
              </w:rPr>
              <w:t>37,356,868</w:t>
            </w:r>
          </w:p>
        </w:tc>
        <w:tc>
          <w:tcPr>
            <w:tcW w:w="1070" w:type="dxa"/>
            <w:tcBorders>
              <w:top w:val="nil"/>
              <w:left w:val="nil"/>
              <w:bottom w:val="nil"/>
              <w:right w:val="nil"/>
            </w:tcBorders>
            <w:shd w:val="clear" w:color="auto" w:fill="FFFFFF"/>
            <w:vAlign w:val="bottom"/>
          </w:tcPr>
          <w:p w14:paraId="599BCCD1" w14:textId="77777777" w:rsidR="00A031A6" w:rsidRDefault="00916FD0">
            <w:pPr>
              <w:jc w:val="right"/>
              <w:rPr>
                <w:color w:val="000000"/>
                <w:sz w:val="14"/>
                <w:szCs w:val="14"/>
              </w:rPr>
            </w:pPr>
            <w:r>
              <w:rPr>
                <w:color w:val="000000"/>
                <w:sz w:val="14"/>
                <w:szCs w:val="14"/>
              </w:rPr>
              <w:t>0%</w:t>
            </w:r>
          </w:p>
        </w:tc>
      </w:tr>
      <w:tr w:rsidR="00A031A6" w14:paraId="68E304E1" w14:textId="77777777">
        <w:trPr>
          <w:trHeight w:val="57"/>
        </w:trPr>
        <w:tc>
          <w:tcPr>
            <w:tcW w:w="1560" w:type="dxa"/>
            <w:gridSpan w:val="2"/>
            <w:tcBorders>
              <w:top w:val="nil"/>
              <w:left w:val="nil"/>
              <w:bottom w:val="nil"/>
              <w:right w:val="nil"/>
            </w:tcBorders>
            <w:shd w:val="clear" w:color="auto" w:fill="FFFFFF"/>
            <w:vAlign w:val="bottom"/>
          </w:tcPr>
          <w:p w14:paraId="1D6FFCE9" w14:textId="77777777"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14:paraId="6C464AA3" w14:textId="77777777" w:rsidR="00A031A6" w:rsidRDefault="00916FD0">
            <w:pPr>
              <w:jc w:val="right"/>
              <w:rPr>
                <w:color w:val="000000"/>
                <w:sz w:val="14"/>
                <w:szCs w:val="14"/>
              </w:rPr>
            </w:pPr>
            <w:r>
              <w:rPr>
                <w:color w:val="000000"/>
                <w:sz w:val="14"/>
                <w:szCs w:val="14"/>
              </w:rPr>
              <w:t>40,261,394</w:t>
            </w:r>
          </w:p>
        </w:tc>
        <w:tc>
          <w:tcPr>
            <w:tcW w:w="1043" w:type="dxa"/>
            <w:gridSpan w:val="2"/>
            <w:tcBorders>
              <w:top w:val="nil"/>
              <w:left w:val="nil"/>
              <w:bottom w:val="nil"/>
              <w:right w:val="nil"/>
            </w:tcBorders>
            <w:shd w:val="clear" w:color="auto" w:fill="FFFFFF"/>
            <w:vAlign w:val="bottom"/>
          </w:tcPr>
          <w:p w14:paraId="5FAA40CE" w14:textId="77777777" w:rsidR="00A031A6" w:rsidRDefault="00916FD0">
            <w:pPr>
              <w:jc w:val="right"/>
              <w:rPr>
                <w:color w:val="000000"/>
                <w:sz w:val="14"/>
                <w:szCs w:val="14"/>
              </w:rPr>
            </w:pPr>
            <w:r>
              <w:rPr>
                <w:color w:val="000000"/>
                <w:sz w:val="14"/>
                <w:szCs w:val="14"/>
              </w:rPr>
              <w:t>37,356,868</w:t>
            </w:r>
          </w:p>
        </w:tc>
        <w:tc>
          <w:tcPr>
            <w:tcW w:w="967" w:type="dxa"/>
            <w:gridSpan w:val="2"/>
            <w:tcBorders>
              <w:top w:val="nil"/>
              <w:left w:val="nil"/>
              <w:bottom w:val="nil"/>
              <w:right w:val="nil"/>
            </w:tcBorders>
            <w:shd w:val="clear" w:color="auto" w:fill="FFFFFF"/>
            <w:vAlign w:val="bottom"/>
          </w:tcPr>
          <w:p w14:paraId="218506C3" w14:textId="77777777" w:rsidR="00A031A6" w:rsidRDefault="00916FD0">
            <w:pPr>
              <w:jc w:val="right"/>
              <w:rPr>
                <w:color w:val="000000"/>
                <w:sz w:val="14"/>
                <w:szCs w:val="14"/>
              </w:rPr>
            </w:pPr>
            <w:r>
              <w:rPr>
                <w:color w:val="000000"/>
                <w:sz w:val="14"/>
                <w:szCs w:val="14"/>
              </w:rPr>
              <w:t>5,394,984</w:t>
            </w:r>
          </w:p>
        </w:tc>
        <w:tc>
          <w:tcPr>
            <w:tcW w:w="1510" w:type="dxa"/>
            <w:gridSpan w:val="2"/>
            <w:tcBorders>
              <w:top w:val="nil"/>
              <w:left w:val="nil"/>
              <w:bottom w:val="nil"/>
              <w:right w:val="nil"/>
            </w:tcBorders>
            <w:shd w:val="clear" w:color="auto" w:fill="FFFFFF"/>
            <w:vAlign w:val="bottom"/>
          </w:tcPr>
          <w:p w14:paraId="07613E36" w14:textId="77777777" w:rsidR="00A031A6" w:rsidRDefault="00916FD0">
            <w:pPr>
              <w:jc w:val="right"/>
              <w:rPr>
                <w:color w:val="000000"/>
                <w:sz w:val="14"/>
                <w:szCs w:val="14"/>
              </w:rPr>
            </w:pPr>
            <w:r>
              <w:rPr>
                <w:color w:val="000000"/>
                <w:sz w:val="14"/>
                <w:szCs w:val="14"/>
              </w:rPr>
              <w:t>1,015,681</w:t>
            </w:r>
          </w:p>
        </w:tc>
        <w:tc>
          <w:tcPr>
            <w:tcW w:w="1254" w:type="dxa"/>
            <w:gridSpan w:val="2"/>
            <w:tcBorders>
              <w:top w:val="nil"/>
              <w:left w:val="nil"/>
              <w:bottom w:val="nil"/>
              <w:right w:val="nil"/>
            </w:tcBorders>
            <w:shd w:val="clear" w:color="auto" w:fill="FFFFFF"/>
            <w:vAlign w:val="bottom"/>
          </w:tcPr>
          <w:p w14:paraId="389C4927" w14:textId="77777777" w:rsidR="00A031A6" w:rsidRDefault="00916FD0">
            <w:pPr>
              <w:jc w:val="right"/>
              <w:rPr>
                <w:color w:val="000000"/>
                <w:sz w:val="14"/>
                <w:szCs w:val="14"/>
              </w:rPr>
            </w:pPr>
            <w:r>
              <w:rPr>
                <w:color w:val="000000"/>
                <w:sz w:val="14"/>
                <w:szCs w:val="14"/>
              </w:rPr>
              <w:t>1,474,776</w:t>
            </w:r>
          </w:p>
        </w:tc>
        <w:tc>
          <w:tcPr>
            <w:tcW w:w="995" w:type="dxa"/>
            <w:tcBorders>
              <w:top w:val="nil"/>
              <w:left w:val="nil"/>
              <w:bottom w:val="nil"/>
              <w:right w:val="nil"/>
            </w:tcBorders>
            <w:shd w:val="clear" w:color="auto" w:fill="FFFFFF"/>
            <w:vAlign w:val="bottom"/>
          </w:tcPr>
          <w:p w14:paraId="5EAF2519" w14:textId="77777777" w:rsidR="00A031A6" w:rsidRDefault="00916FD0">
            <w:pPr>
              <w:jc w:val="right"/>
              <w:rPr>
                <w:color w:val="000000"/>
                <w:sz w:val="14"/>
                <w:szCs w:val="14"/>
              </w:rPr>
            </w:pPr>
            <w:r>
              <w:rPr>
                <w:color w:val="000000"/>
                <w:sz w:val="14"/>
                <w:szCs w:val="14"/>
              </w:rPr>
              <w:t>14,219,539</w:t>
            </w:r>
          </w:p>
        </w:tc>
        <w:tc>
          <w:tcPr>
            <w:tcW w:w="986" w:type="dxa"/>
            <w:gridSpan w:val="2"/>
            <w:tcBorders>
              <w:top w:val="nil"/>
              <w:left w:val="nil"/>
              <w:bottom w:val="nil"/>
              <w:right w:val="nil"/>
            </w:tcBorders>
            <w:shd w:val="clear" w:color="auto" w:fill="FFFFFF"/>
            <w:vAlign w:val="bottom"/>
          </w:tcPr>
          <w:p w14:paraId="002F1850" w14:textId="77777777" w:rsidR="00A031A6" w:rsidRDefault="00916FD0">
            <w:pPr>
              <w:jc w:val="right"/>
              <w:rPr>
                <w:color w:val="000000"/>
                <w:sz w:val="14"/>
                <w:szCs w:val="14"/>
              </w:rPr>
            </w:pPr>
            <w:r>
              <w:rPr>
                <w:color w:val="000000"/>
                <w:sz w:val="14"/>
                <w:szCs w:val="14"/>
              </w:rPr>
              <w:t>35%</w:t>
            </w:r>
          </w:p>
        </w:tc>
        <w:tc>
          <w:tcPr>
            <w:tcW w:w="1214" w:type="dxa"/>
            <w:gridSpan w:val="2"/>
            <w:tcBorders>
              <w:top w:val="nil"/>
              <w:left w:val="nil"/>
              <w:bottom w:val="nil"/>
              <w:right w:val="nil"/>
            </w:tcBorders>
            <w:shd w:val="clear" w:color="auto" w:fill="FFFFFF"/>
            <w:vAlign w:val="bottom"/>
          </w:tcPr>
          <w:p w14:paraId="29C45B94" w14:textId="77777777" w:rsidR="00A031A6" w:rsidRDefault="00916FD0">
            <w:pPr>
              <w:jc w:val="right"/>
              <w:rPr>
                <w:color w:val="000000"/>
                <w:sz w:val="14"/>
                <w:szCs w:val="14"/>
              </w:rPr>
            </w:pPr>
            <w:r>
              <w:rPr>
                <w:color w:val="000000"/>
                <w:sz w:val="14"/>
                <w:szCs w:val="14"/>
              </w:rPr>
              <w:t>26,041,855</w:t>
            </w:r>
          </w:p>
        </w:tc>
        <w:tc>
          <w:tcPr>
            <w:tcW w:w="1216" w:type="dxa"/>
            <w:gridSpan w:val="2"/>
            <w:tcBorders>
              <w:top w:val="nil"/>
              <w:left w:val="nil"/>
              <w:bottom w:val="nil"/>
              <w:right w:val="nil"/>
            </w:tcBorders>
            <w:shd w:val="clear" w:color="auto" w:fill="FFFFFF"/>
            <w:vAlign w:val="bottom"/>
          </w:tcPr>
          <w:p w14:paraId="6CF9FE2D" w14:textId="77777777" w:rsidR="00A031A6" w:rsidRDefault="00916FD0">
            <w:pPr>
              <w:jc w:val="right"/>
              <w:rPr>
                <w:color w:val="000000"/>
                <w:sz w:val="14"/>
                <w:szCs w:val="14"/>
              </w:rPr>
            </w:pPr>
            <w:r>
              <w:rPr>
                <w:color w:val="000000"/>
                <w:sz w:val="14"/>
                <w:szCs w:val="14"/>
              </w:rPr>
              <w:t>65%</w:t>
            </w:r>
          </w:p>
        </w:tc>
        <w:tc>
          <w:tcPr>
            <w:tcW w:w="988" w:type="dxa"/>
            <w:gridSpan w:val="2"/>
            <w:tcBorders>
              <w:top w:val="nil"/>
              <w:left w:val="nil"/>
              <w:bottom w:val="nil"/>
              <w:right w:val="nil"/>
            </w:tcBorders>
            <w:shd w:val="clear" w:color="auto" w:fill="FFFFFF"/>
            <w:vAlign w:val="bottom"/>
          </w:tcPr>
          <w:p w14:paraId="4D990287" w14:textId="77777777" w:rsidR="00A031A6" w:rsidRDefault="00916FD0">
            <w:pPr>
              <w:jc w:val="right"/>
              <w:rPr>
                <w:color w:val="000000"/>
                <w:sz w:val="14"/>
                <w:szCs w:val="14"/>
              </w:rPr>
            </w:pPr>
            <w:r>
              <w:rPr>
                <w:color w:val="000000"/>
                <w:sz w:val="14"/>
                <w:szCs w:val="14"/>
              </w:rPr>
              <w:t>53%</w:t>
            </w:r>
          </w:p>
        </w:tc>
        <w:tc>
          <w:tcPr>
            <w:tcW w:w="1426" w:type="dxa"/>
            <w:gridSpan w:val="2"/>
            <w:tcBorders>
              <w:top w:val="nil"/>
              <w:left w:val="nil"/>
              <w:bottom w:val="nil"/>
              <w:right w:val="nil"/>
            </w:tcBorders>
            <w:shd w:val="clear" w:color="auto" w:fill="FFFFFF"/>
            <w:vAlign w:val="bottom"/>
          </w:tcPr>
          <w:p w14:paraId="0202CA64" w14:textId="77777777" w:rsidR="00A031A6" w:rsidRDefault="00916FD0">
            <w:pPr>
              <w:jc w:val="right"/>
              <w:rPr>
                <w:color w:val="000000"/>
                <w:sz w:val="14"/>
                <w:szCs w:val="14"/>
              </w:rPr>
            </w:pPr>
            <w:r>
              <w:rPr>
                <w:color w:val="000000"/>
                <w:sz w:val="14"/>
                <w:szCs w:val="14"/>
              </w:rPr>
              <w:t>40,261,394</w:t>
            </w:r>
          </w:p>
        </w:tc>
        <w:tc>
          <w:tcPr>
            <w:tcW w:w="1070" w:type="dxa"/>
            <w:tcBorders>
              <w:top w:val="nil"/>
              <w:left w:val="nil"/>
              <w:bottom w:val="nil"/>
              <w:right w:val="nil"/>
            </w:tcBorders>
            <w:shd w:val="clear" w:color="auto" w:fill="FFFFFF"/>
            <w:vAlign w:val="bottom"/>
          </w:tcPr>
          <w:p w14:paraId="401B0D89" w14:textId="77777777" w:rsidR="00A031A6" w:rsidRDefault="00916FD0">
            <w:pPr>
              <w:jc w:val="right"/>
              <w:rPr>
                <w:color w:val="000000"/>
                <w:sz w:val="14"/>
                <w:szCs w:val="14"/>
              </w:rPr>
            </w:pPr>
            <w:r>
              <w:rPr>
                <w:color w:val="000000"/>
                <w:sz w:val="14"/>
                <w:szCs w:val="14"/>
              </w:rPr>
              <w:t>0%</w:t>
            </w:r>
          </w:p>
        </w:tc>
      </w:tr>
      <w:tr w:rsidR="00A031A6" w14:paraId="04E53C3C" w14:textId="77777777">
        <w:trPr>
          <w:trHeight w:val="57"/>
        </w:trPr>
        <w:tc>
          <w:tcPr>
            <w:tcW w:w="1560" w:type="dxa"/>
            <w:gridSpan w:val="2"/>
            <w:tcBorders>
              <w:top w:val="nil"/>
              <w:left w:val="nil"/>
              <w:bottom w:val="nil"/>
              <w:right w:val="nil"/>
            </w:tcBorders>
            <w:shd w:val="clear" w:color="auto" w:fill="FFFFFF"/>
            <w:vAlign w:val="bottom"/>
          </w:tcPr>
          <w:p w14:paraId="683F20D9" w14:textId="77777777"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14:paraId="58DC215D" w14:textId="77777777" w:rsidR="00A031A6" w:rsidRDefault="00916FD0">
            <w:pPr>
              <w:jc w:val="right"/>
              <w:rPr>
                <w:color w:val="000000"/>
                <w:sz w:val="14"/>
                <w:szCs w:val="14"/>
              </w:rPr>
            </w:pPr>
            <w:r>
              <w:rPr>
                <w:color w:val="000000"/>
                <w:sz w:val="14"/>
                <w:szCs w:val="14"/>
              </w:rPr>
              <w:t>43,511,784</w:t>
            </w:r>
          </w:p>
        </w:tc>
        <w:tc>
          <w:tcPr>
            <w:tcW w:w="1043" w:type="dxa"/>
            <w:gridSpan w:val="2"/>
            <w:tcBorders>
              <w:top w:val="nil"/>
              <w:left w:val="nil"/>
              <w:bottom w:val="nil"/>
              <w:right w:val="nil"/>
            </w:tcBorders>
            <w:shd w:val="clear" w:color="auto" w:fill="FFFFFF"/>
            <w:vAlign w:val="bottom"/>
          </w:tcPr>
          <w:p w14:paraId="0FF8C248" w14:textId="77777777" w:rsidR="00A031A6" w:rsidRDefault="00916FD0">
            <w:pPr>
              <w:jc w:val="right"/>
              <w:rPr>
                <w:color w:val="000000"/>
                <w:sz w:val="14"/>
                <w:szCs w:val="14"/>
              </w:rPr>
            </w:pPr>
            <w:r>
              <w:rPr>
                <w:color w:val="000000"/>
                <w:sz w:val="14"/>
                <w:szCs w:val="14"/>
              </w:rPr>
              <w:t>40,261,394</w:t>
            </w:r>
          </w:p>
        </w:tc>
        <w:tc>
          <w:tcPr>
            <w:tcW w:w="967" w:type="dxa"/>
            <w:gridSpan w:val="2"/>
            <w:tcBorders>
              <w:top w:val="nil"/>
              <w:left w:val="nil"/>
              <w:bottom w:val="nil"/>
              <w:right w:val="nil"/>
            </w:tcBorders>
            <w:shd w:val="clear" w:color="auto" w:fill="FFFFFF"/>
            <w:vAlign w:val="bottom"/>
          </w:tcPr>
          <w:p w14:paraId="5542014C" w14:textId="77777777" w:rsidR="00A031A6" w:rsidRDefault="00916FD0">
            <w:pPr>
              <w:jc w:val="right"/>
              <w:rPr>
                <w:color w:val="000000"/>
                <w:sz w:val="14"/>
                <w:szCs w:val="14"/>
              </w:rPr>
            </w:pPr>
            <w:r>
              <w:rPr>
                <w:color w:val="000000"/>
                <w:sz w:val="14"/>
                <w:szCs w:val="14"/>
              </w:rPr>
              <w:t>5,934,483</w:t>
            </w:r>
          </w:p>
        </w:tc>
        <w:tc>
          <w:tcPr>
            <w:tcW w:w="1510" w:type="dxa"/>
            <w:gridSpan w:val="2"/>
            <w:tcBorders>
              <w:top w:val="nil"/>
              <w:left w:val="nil"/>
              <w:bottom w:val="nil"/>
              <w:right w:val="nil"/>
            </w:tcBorders>
            <w:shd w:val="clear" w:color="auto" w:fill="FFFFFF"/>
            <w:vAlign w:val="bottom"/>
          </w:tcPr>
          <w:p w14:paraId="6038A2D7" w14:textId="77777777" w:rsidR="00A031A6" w:rsidRDefault="00916FD0">
            <w:pPr>
              <w:jc w:val="right"/>
              <w:rPr>
                <w:color w:val="000000"/>
                <w:sz w:val="14"/>
                <w:szCs w:val="14"/>
              </w:rPr>
            </w:pPr>
            <w:r>
              <w:rPr>
                <w:color w:val="000000"/>
                <w:sz w:val="14"/>
                <w:szCs w:val="14"/>
              </w:rPr>
              <w:t>947,969</w:t>
            </w:r>
          </w:p>
        </w:tc>
        <w:tc>
          <w:tcPr>
            <w:tcW w:w="1254" w:type="dxa"/>
            <w:gridSpan w:val="2"/>
            <w:tcBorders>
              <w:top w:val="nil"/>
              <w:left w:val="nil"/>
              <w:bottom w:val="nil"/>
              <w:right w:val="nil"/>
            </w:tcBorders>
            <w:shd w:val="clear" w:color="auto" w:fill="FFFFFF"/>
            <w:vAlign w:val="bottom"/>
          </w:tcPr>
          <w:p w14:paraId="77CBF0F6" w14:textId="77777777" w:rsidR="00A031A6" w:rsidRDefault="00916FD0">
            <w:pPr>
              <w:jc w:val="right"/>
              <w:rPr>
                <w:color w:val="000000"/>
                <w:sz w:val="14"/>
                <w:szCs w:val="14"/>
              </w:rPr>
            </w:pPr>
            <w:r>
              <w:rPr>
                <w:color w:val="000000"/>
                <w:sz w:val="14"/>
                <w:szCs w:val="14"/>
              </w:rPr>
              <w:t>1,736,124</w:t>
            </w:r>
          </w:p>
        </w:tc>
        <w:tc>
          <w:tcPr>
            <w:tcW w:w="995" w:type="dxa"/>
            <w:tcBorders>
              <w:top w:val="nil"/>
              <w:left w:val="nil"/>
              <w:bottom w:val="nil"/>
              <w:right w:val="nil"/>
            </w:tcBorders>
            <w:shd w:val="clear" w:color="auto" w:fill="FFFFFF"/>
            <w:vAlign w:val="bottom"/>
          </w:tcPr>
          <w:p w14:paraId="65E80BEB" w14:textId="77777777" w:rsidR="00A031A6" w:rsidRDefault="00916FD0">
            <w:pPr>
              <w:jc w:val="right"/>
              <w:rPr>
                <w:color w:val="000000"/>
                <w:sz w:val="14"/>
                <w:szCs w:val="14"/>
              </w:rPr>
            </w:pPr>
            <w:r>
              <w:rPr>
                <w:color w:val="000000"/>
                <w:sz w:val="14"/>
                <w:szCs w:val="14"/>
              </w:rPr>
              <w:t>13,271,570</w:t>
            </w:r>
          </w:p>
        </w:tc>
        <w:tc>
          <w:tcPr>
            <w:tcW w:w="986" w:type="dxa"/>
            <w:gridSpan w:val="2"/>
            <w:tcBorders>
              <w:top w:val="nil"/>
              <w:left w:val="nil"/>
              <w:bottom w:val="nil"/>
              <w:right w:val="nil"/>
            </w:tcBorders>
            <w:shd w:val="clear" w:color="auto" w:fill="FFFFFF"/>
            <w:vAlign w:val="bottom"/>
          </w:tcPr>
          <w:p w14:paraId="121E2EA2" w14:textId="77777777" w:rsidR="00A031A6" w:rsidRDefault="00916FD0">
            <w:pPr>
              <w:jc w:val="right"/>
              <w:rPr>
                <w:color w:val="000000"/>
                <w:sz w:val="14"/>
                <w:szCs w:val="14"/>
              </w:rPr>
            </w:pPr>
            <w:r>
              <w:rPr>
                <w:color w:val="000000"/>
                <w:sz w:val="14"/>
                <w:szCs w:val="14"/>
              </w:rPr>
              <w:t>31%</w:t>
            </w:r>
          </w:p>
        </w:tc>
        <w:tc>
          <w:tcPr>
            <w:tcW w:w="1214" w:type="dxa"/>
            <w:gridSpan w:val="2"/>
            <w:tcBorders>
              <w:top w:val="nil"/>
              <w:left w:val="nil"/>
              <w:bottom w:val="nil"/>
              <w:right w:val="nil"/>
            </w:tcBorders>
            <w:shd w:val="clear" w:color="auto" w:fill="FFFFFF"/>
            <w:vAlign w:val="bottom"/>
          </w:tcPr>
          <w:p w14:paraId="2AEFC4C9" w14:textId="77777777" w:rsidR="00A031A6" w:rsidRDefault="00916FD0">
            <w:pPr>
              <w:jc w:val="right"/>
              <w:rPr>
                <w:color w:val="000000"/>
                <w:sz w:val="14"/>
                <w:szCs w:val="14"/>
              </w:rPr>
            </w:pPr>
            <w:r>
              <w:rPr>
                <w:color w:val="000000"/>
                <w:sz w:val="14"/>
                <w:szCs w:val="14"/>
              </w:rPr>
              <w:t>30,240,214</w:t>
            </w:r>
          </w:p>
        </w:tc>
        <w:tc>
          <w:tcPr>
            <w:tcW w:w="1216" w:type="dxa"/>
            <w:gridSpan w:val="2"/>
            <w:tcBorders>
              <w:top w:val="nil"/>
              <w:left w:val="nil"/>
              <w:bottom w:val="nil"/>
              <w:right w:val="nil"/>
            </w:tcBorders>
            <w:shd w:val="clear" w:color="auto" w:fill="FFFFFF"/>
            <w:vAlign w:val="bottom"/>
          </w:tcPr>
          <w:p w14:paraId="4B5D14E2" w14:textId="77777777" w:rsidR="00A031A6" w:rsidRDefault="00916FD0">
            <w:pPr>
              <w:jc w:val="right"/>
              <w:rPr>
                <w:color w:val="000000"/>
                <w:sz w:val="14"/>
                <w:szCs w:val="14"/>
              </w:rPr>
            </w:pPr>
            <w:r>
              <w:rPr>
                <w:color w:val="000000"/>
                <w:sz w:val="14"/>
                <w:szCs w:val="14"/>
              </w:rPr>
              <w:t>69%</w:t>
            </w:r>
          </w:p>
        </w:tc>
        <w:tc>
          <w:tcPr>
            <w:tcW w:w="988" w:type="dxa"/>
            <w:gridSpan w:val="2"/>
            <w:tcBorders>
              <w:top w:val="nil"/>
              <w:left w:val="nil"/>
              <w:bottom w:val="nil"/>
              <w:right w:val="nil"/>
            </w:tcBorders>
            <w:shd w:val="clear" w:color="auto" w:fill="FFFFFF"/>
            <w:vAlign w:val="bottom"/>
          </w:tcPr>
          <w:p w14:paraId="4CF6EEFA" w14:textId="77777777" w:rsidR="00A031A6" w:rsidRDefault="00916FD0">
            <w:pPr>
              <w:jc w:val="right"/>
              <w:rPr>
                <w:color w:val="000000"/>
                <w:sz w:val="14"/>
                <w:szCs w:val="14"/>
              </w:rPr>
            </w:pPr>
            <w:r>
              <w:rPr>
                <w:color w:val="000000"/>
                <w:sz w:val="14"/>
                <w:szCs w:val="14"/>
              </w:rPr>
              <w:t>57%</w:t>
            </w:r>
          </w:p>
        </w:tc>
        <w:tc>
          <w:tcPr>
            <w:tcW w:w="1426" w:type="dxa"/>
            <w:gridSpan w:val="2"/>
            <w:tcBorders>
              <w:top w:val="nil"/>
              <w:left w:val="nil"/>
              <w:bottom w:val="nil"/>
              <w:right w:val="nil"/>
            </w:tcBorders>
            <w:shd w:val="clear" w:color="auto" w:fill="FFFFFF"/>
            <w:vAlign w:val="bottom"/>
          </w:tcPr>
          <w:p w14:paraId="383AD499" w14:textId="77777777" w:rsidR="00A031A6" w:rsidRDefault="00916FD0">
            <w:pPr>
              <w:jc w:val="right"/>
              <w:rPr>
                <w:color w:val="000000"/>
                <w:sz w:val="14"/>
                <w:szCs w:val="14"/>
              </w:rPr>
            </w:pPr>
            <w:r>
              <w:rPr>
                <w:color w:val="000000"/>
                <w:sz w:val="14"/>
                <w:szCs w:val="14"/>
              </w:rPr>
              <w:t>43,511,784</w:t>
            </w:r>
          </w:p>
        </w:tc>
        <w:tc>
          <w:tcPr>
            <w:tcW w:w="1070" w:type="dxa"/>
            <w:tcBorders>
              <w:top w:val="nil"/>
              <w:left w:val="nil"/>
              <w:bottom w:val="nil"/>
              <w:right w:val="nil"/>
            </w:tcBorders>
            <w:shd w:val="clear" w:color="auto" w:fill="FFFFFF"/>
            <w:vAlign w:val="bottom"/>
          </w:tcPr>
          <w:p w14:paraId="43FABB03" w14:textId="77777777" w:rsidR="00A031A6" w:rsidRDefault="00916FD0">
            <w:pPr>
              <w:jc w:val="right"/>
              <w:rPr>
                <w:color w:val="000000"/>
                <w:sz w:val="14"/>
                <w:szCs w:val="14"/>
              </w:rPr>
            </w:pPr>
            <w:r>
              <w:rPr>
                <w:color w:val="000000"/>
                <w:sz w:val="14"/>
                <w:szCs w:val="14"/>
              </w:rPr>
              <w:t>0%</w:t>
            </w:r>
          </w:p>
        </w:tc>
      </w:tr>
      <w:tr w:rsidR="00A031A6" w14:paraId="0D990680" w14:textId="77777777">
        <w:trPr>
          <w:trHeight w:val="57"/>
        </w:trPr>
        <w:tc>
          <w:tcPr>
            <w:tcW w:w="1560" w:type="dxa"/>
            <w:gridSpan w:val="2"/>
            <w:tcBorders>
              <w:top w:val="nil"/>
              <w:left w:val="nil"/>
              <w:bottom w:val="nil"/>
              <w:right w:val="nil"/>
            </w:tcBorders>
            <w:vAlign w:val="bottom"/>
          </w:tcPr>
          <w:p w14:paraId="69446A9D" w14:textId="77777777" w:rsidR="00A031A6" w:rsidRDefault="00916FD0">
            <w:pPr>
              <w:rPr>
                <w:color w:val="000000"/>
                <w:sz w:val="14"/>
                <w:szCs w:val="14"/>
              </w:rPr>
            </w:pPr>
            <w:r>
              <w:rPr>
                <w:color w:val="000000"/>
                <w:sz w:val="14"/>
                <w:szCs w:val="14"/>
              </w:rPr>
              <w:t> </w:t>
            </w:r>
          </w:p>
        </w:tc>
        <w:tc>
          <w:tcPr>
            <w:tcW w:w="1169" w:type="dxa"/>
            <w:tcBorders>
              <w:top w:val="nil"/>
              <w:left w:val="nil"/>
              <w:bottom w:val="nil"/>
              <w:right w:val="nil"/>
            </w:tcBorders>
            <w:vAlign w:val="bottom"/>
          </w:tcPr>
          <w:p w14:paraId="00BAF84F" w14:textId="77777777" w:rsidR="00A031A6" w:rsidRDefault="00916FD0">
            <w:pPr>
              <w:rPr>
                <w:color w:val="000000"/>
                <w:sz w:val="14"/>
                <w:szCs w:val="14"/>
              </w:rPr>
            </w:pPr>
            <w:r>
              <w:rPr>
                <w:color w:val="000000"/>
                <w:sz w:val="14"/>
                <w:szCs w:val="14"/>
              </w:rPr>
              <w:t> </w:t>
            </w:r>
          </w:p>
        </w:tc>
        <w:tc>
          <w:tcPr>
            <w:tcW w:w="1043" w:type="dxa"/>
            <w:gridSpan w:val="2"/>
            <w:tcBorders>
              <w:top w:val="nil"/>
              <w:left w:val="nil"/>
              <w:bottom w:val="nil"/>
              <w:right w:val="nil"/>
            </w:tcBorders>
            <w:vAlign w:val="bottom"/>
          </w:tcPr>
          <w:p w14:paraId="1FD49810"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vAlign w:val="bottom"/>
          </w:tcPr>
          <w:p w14:paraId="39DA5B7B"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vAlign w:val="bottom"/>
          </w:tcPr>
          <w:p w14:paraId="08F44F79" w14:textId="77777777" w:rsidR="00A031A6" w:rsidRDefault="00916FD0">
            <w:pPr>
              <w:rPr>
                <w:color w:val="000000"/>
                <w:sz w:val="14"/>
                <w:szCs w:val="14"/>
              </w:rPr>
            </w:pPr>
            <w:r>
              <w:rPr>
                <w:color w:val="000000"/>
                <w:sz w:val="14"/>
                <w:szCs w:val="14"/>
              </w:rPr>
              <w:t> </w:t>
            </w:r>
          </w:p>
        </w:tc>
        <w:tc>
          <w:tcPr>
            <w:tcW w:w="1254" w:type="dxa"/>
            <w:gridSpan w:val="2"/>
            <w:tcBorders>
              <w:top w:val="nil"/>
              <w:left w:val="nil"/>
              <w:bottom w:val="nil"/>
              <w:right w:val="nil"/>
            </w:tcBorders>
            <w:vAlign w:val="bottom"/>
          </w:tcPr>
          <w:p w14:paraId="1F997F38" w14:textId="77777777" w:rsidR="00A031A6" w:rsidRDefault="00916FD0">
            <w:pPr>
              <w:rPr>
                <w:color w:val="000000"/>
                <w:sz w:val="14"/>
                <w:szCs w:val="14"/>
              </w:rPr>
            </w:pPr>
            <w:r>
              <w:rPr>
                <w:color w:val="000000"/>
                <w:sz w:val="14"/>
                <w:szCs w:val="14"/>
              </w:rPr>
              <w:t> </w:t>
            </w:r>
          </w:p>
        </w:tc>
        <w:tc>
          <w:tcPr>
            <w:tcW w:w="995" w:type="dxa"/>
            <w:tcBorders>
              <w:top w:val="nil"/>
              <w:left w:val="nil"/>
              <w:bottom w:val="nil"/>
              <w:right w:val="nil"/>
            </w:tcBorders>
            <w:vAlign w:val="bottom"/>
          </w:tcPr>
          <w:p w14:paraId="5EB24BE7" w14:textId="77777777" w:rsidR="00A031A6" w:rsidRDefault="00916FD0">
            <w:pPr>
              <w:rPr>
                <w:color w:val="000000"/>
                <w:sz w:val="14"/>
                <w:szCs w:val="14"/>
              </w:rPr>
            </w:pPr>
            <w:r>
              <w:rPr>
                <w:color w:val="000000"/>
                <w:sz w:val="14"/>
                <w:szCs w:val="14"/>
              </w:rPr>
              <w:t> </w:t>
            </w:r>
          </w:p>
        </w:tc>
        <w:tc>
          <w:tcPr>
            <w:tcW w:w="986" w:type="dxa"/>
            <w:gridSpan w:val="2"/>
            <w:tcBorders>
              <w:top w:val="nil"/>
              <w:left w:val="nil"/>
              <w:bottom w:val="nil"/>
              <w:right w:val="nil"/>
            </w:tcBorders>
            <w:vAlign w:val="bottom"/>
          </w:tcPr>
          <w:p w14:paraId="7916BE79" w14:textId="77777777" w:rsidR="00A031A6" w:rsidRDefault="00916FD0">
            <w:pPr>
              <w:rPr>
                <w:color w:val="000000"/>
                <w:sz w:val="14"/>
                <w:szCs w:val="14"/>
              </w:rPr>
            </w:pPr>
            <w:r>
              <w:rPr>
                <w:color w:val="000000"/>
                <w:sz w:val="14"/>
                <w:szCs w:val="14"/>
              </w:rPr>
              <w:t> </w:t>
            </w:r>
          </w:p>
        </w:tc>
        <w:tc>
          <w:tcPr>
            <w:tcW w:w="1214" w:type="dxa"/>
            <w:gridSpan w:val="2"/>
            <w:tcBorders>
              <w:top w:val="nil"/>
              <w:left w:val="nil"/>
              <w:bottom w:val="nil"/>
              <w:right w:val="nil"/>
            </w:tcBorders>
            <w:vAlign w:val="bottom"/>
          </w:tcPr>
          <w:p w14:paraId="789614D3" w14:textId="77777777" w:rsidR="00A031A6" w:rsidRDefault="00916FD0">
            <w:pPr>
              <w:rPr>
                <w:color w:val="000000"/>
                <w:sz w:val="14"/>
                <w:szCs w:val="14"/>
              </w:rPr>
            </w:pPr>
            <w:r>
              <w:rPr>
                <w:color w:val="000000"/>
                <w:sz w:val="14"/>
                <w:szCs w:val="14"/>
              </w:rPr>
              <w:t> </w:t>
            </w:r>
          </w:p>
        </w:tc>
        <w:tc>
          <w:tcPr>
            <w:tcW w:w="1216" w:type="dxa"/>
            <w:gridSpan w:val="2"/>
            <w:tcBorders>
              <w:top w:val="nil"/>
              <w:left w:val="nil"/>
              <w:bottom w:val="nil"/>
              <w:right w:val="nil"/>
            </w:tcBorders>
            <w:vAlign w:val="bottom"/>
          </w:tcPr>
          <w:p w14:paraId="30A9E002" w14:textId="77777777" w:rsidR="00A031A6" w:rsidRDefault="00916FD0">
            <w:pPr>
              <w:rPr>
                <w:color w:val="000000"/>
                <w:sz w:val="14"/>
                <w:szCs w:val="14"/>
              </w:rPr>
            </w:pPr>
            <w:r>
              <w:rPr>
                <w:color w:val="000000"/>
                <w:sz w:val="14"/>
                <w:szCs w:val="14"/>
              </w:rPr>
              <w:t> </w:t>
            </w:r>
          </w:p>
        </w:tc>
        <w:tc>
          <w:tcPr>
            <w:tcW w:w="988" w:type="dxa"/>
            <w:gridSpan w:val="2"/>
            <w:tcBorders>
              <w:top w:val="nil"/>
              <w:left w:val="nil"/>
              <w:bottom w:val="nil"/>
              <w:right w:val="nil"/>
            </w:tcBorders>
            <w:vAlign w:val="bottom"/>
          </w:tcPr>
          <w:p w14:paraId="00038239" w14:textId="77777777" w:rsidR="00A031A6" w:rsidRDefault="00916FD0">
            <w:pPr>
              <w:rPr>
                <w:color w:val="000000"/>
                <w:sz w:val="14"/>
                <w:szCs w:val="14"/>
              </w:rPr>
            </w:pPr>
            <w:r>
              <w:rPr>
                <w:color w:val="000000"/>
                <w:sz w:val="14"/>
                <w:szCs w:val="14"/>
              </w:rPr>
              <w:t> </w:t>
            </w:r>
          </w:p>
        </w:tc>
        <w:tc>
          <w:tcPr>
            <w:tcW w:w="1426" w:type="dxa"/>
            <w:gridSpan w:val="2"/>
            <w:tcBorders>
              <w:top w:val="nil"/>
              <w:left w:val="nil"/>
              <w:bottom w:val="nil"/>
              <w:right w:val="nil"/>
            </w:tcBorders>
            <w:vAlign w:val="bottom"/>
          </w:tcPr>
          <w:p w14:paraId="21A781DA" w14:textId="77777777" w:rsidR="00A031A6" w:rsidRDefault="00916FD0">
            <w:pPr>
              <w:rPr>
                <w:color w:val="000000"/>
                <w:sz w:val="14"/>
                <w:szCs w:val="14"/>
              </w:rPr>
            </w:pPr>
            <w:r>
              <w:rPr>
                <w:color w:val="000000"/>
                <w:sz w:val="14"/>
                <w:szCs w:val="14"/>
              </w:rPr>
              <w:t> </w:t>
            </w:r>
          </w:p>
        </w:tc>
        <w:tc>
          <w:tcPr>
            <w:tcW w:w="1070" w:type="dxa"/>
            <w:tcBorders>
              <w:top w:val="nil"/>
              <w:left w:val="nil"/>
              <w:bottom w:val="nil"/>
              <w:right w:val="nil"/>
            </w:tcBorders>
            <w:vAlign w:val="bottom"/>
          </w:tcPr>
          <w:p w14:paraId="322D4411" w14:textId="77777777" w:rsidR="00A031A6" w:rsidRDefault="00A031A6">
            <w:pPr>
              <w:jc w:val="right"/>
              <w:rPr>
                <w:color w:val="000000"/>
                <w:sz w:val="14"/>
                <w:szCs w:val="14"/>
              </w:rPr>
            </w:pPr>
          </w:p>
        </w:tc>
      </w:tr>
      <w:tr w:rsidR="00A031A6" w14:paraId="6FD21F8C" w14:textId="77777777">
        <w:trPr>
          <w:trHeight w:val="57"/>
        </w:trPr>
        <w:tc>
          <w:tcPr>
            <w:tcW w:w="1560" w:type="dxa"/>
            <w:gridSpan w:val="2"/>
            <w:tcBorders>
              <w:top w:val="nil"/>
              <w:left w:val="nil"/>
              <w:bottom w:val="nil"/>
              <w:right w:val="nil"/>
            </w:tcBorders>
            <w:shd w:val="clear" w:color="auto" w:fill="808080"/>
            <w:vAlign w:val="bottom"/>
          </w:tcPr>
          <w:p w14:paraId="429B0ED1" w14:textId="77777777" w:rsidR="00A031A6" w:rsidRDefault="00916FD0">
            <w:pPr>
              <w:rPr>
                <w:b/>
                <w:color w:val="FFFFFF"/>
                <w:sz w:val="14"/>
                <w:szCs w:val="14"/>
              </w:rPr>
            </w:pPr>
            <w:r>
              <w:rPr>
                <w:b/>
                <w:color w:val="FFFFFF"/>
                <w:sz w:val="14"/>
                <w:szCs w:val="14"/>
              </w:rPr>
              <w:t>Water Pump</w:t>
            </w:r>
          </w:p>
        </w:tc>
        <w:tc>
          <w:tcPr>
            <w:tcW w:w="1169" w:type="dxa"/>
            <w:tcBorders>
              <w:top w:val="nil"/>
              <w:left w:val="nil"/>
              <w:bottom w:val="nil"/>
              <w:right w:val="nil"/>
            </w:tcBorders>
            <w:shd w:val="clear" w:color="auto" w:fill="808080"/>
            <w:vAlign w:val="bottom"/>
          </w:tcPr>
          <w:p w14:paraId="51942D7F" w14:textId="77777777" w:rsidR="00A031A6" w:rsidRDefault="00916FD0">
            <w:pPr>
              <w:rPr>
                <w:b/>
                <w:color w:val="FFFFFF"/>
                <w:sz w:val="14"/>
                <w:szCs w:val="14"/>
              </w:rPr>
            </w:pPr>
            <w:r>
              <w:rPr>
                <w:b/>
                <w:color w:val="FFFFFF"/>
                <w:sz w:val="14"/>
                <w:szCs w:val="14"/>
              </w:rPr>
              <w:t>Stock (t)</w:t>
            </w:r>
          </w:p>
        </w:tc>
        <w:tc>
          <w:tcPr>
            <w:tcW w:w="1043" w:type="dxa"/>
            <w:gridSpan w:val="2"/>
            <w:tcBorders>
              <w:top w:val="nil"/>
              <w:left w:val="nil"/>
              <w:bottom w:val="nil"/>
              <w:right w:val="nil"/>
            </w:tcBorders>
            <w:shd w:val="clear" w:color="auto" w:fill="808080"/>
            <w:vAlign w:val="bottom"/>
          </w:tcPr>
          <w:p w14:paraId="3CA240E5" w14:textId="77777777" w:rsidR="00A031A6" w:rsidRDefault="00916FD0">
            <w:pPr>
              <w:rPr>
                <w:b/>
                <w:color w:val="FFFFFF"/>
                <w:sz w:val="14"/>
                <w:szCs w:val="14"/>
              </w:rPr>
            </w:pPr>
            <w:r>
              <w:rPr>
                <w:b/>
                <w:color w:val="FFFFFF"/>
                <w:sz w:val="14"/>
                <w:szCs w:val="14"/>
              </w:rPr>
              <w:t>Stock(t-1)</w:t>
            </w:r>
          </w:p>
        </w:tc>
        <w:tc>
          <w:tcPr>
            <w:tcW w:w="967" w:type="dxa"/>
            <w:gridSpan w:val="2"/>
            <w:tcBorders>
              <w:top w:val="nil"/>
              <w:left w:val="nil"/>
              <w:bottom w:val="nil"/>
              <w:right w:val="nil"/>
            </w:tcBorders>
            <w:shd w:val="clear" w:color="auto" w:fill="808080"/>
            <w:vAlign w:val="bottom"/>
          </w:tcPr>
          <w:p w14:paraId="37A07047"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21001A87" w14:textId="77777777" w:rsidR="00A031A6" w:rsidRDefault="00916FD0">
            <w:pPr>
              <w:rPr>
                <w:b/>
                <w:color w:val="FFFFFF"/>
                <w:sz w:val="14"/>
                <w:szCs w:val="14"/>
              </w:rPr>
            </w:pPr>
            <w:r>
              <w:rPr>
                <w:b/>
                <w:color w:val="FFFFFF"/>
                <w:sz w:val="14"/>
                <w:szCs w:val="14"/>
              </w:rPr>
              <w:t>Retired Stock Pre EE</w:t>
            </w:r>
          </w:p>
        </w:tc>
        <w:tc>
          <w:tcPr>
            <w:tcW w:w="1254" w:type="dxa"/>
            <w:gridSpan w:val="2"/>
            <w:tcBorders>
              <w:top w:val="nil"/>
              <w:left w:val="nil"/>
              <w:bottom w:val="nil"/>
              <w:right w:val="nil"/>
            </w:tcBorders>
            <w:shd w:val="clear" w:color="auto" w:fill="808080"/>
            <w:vAlign w:val="bottom"/>
          </w:tcPr>
          <w:p w14:paraId="1C067281" w14:textId="77777777" w:rsidR="00A031A6" w:rsidRDefault="00916FD0">
            <w:pPr>
              <w:rPr>
                <w:b/>
                <w:color w:val="FFFFFF"/>
                <w:sz w:val="14"/>
                <w:szCs w:val="14"/>
              </w:rPr>
            </w:pPr>
            <w:r>
              <w:rPr>
                <w:b/>
                <w:color w:val="FFFFFF"/>
                <w:sz w:val="14"/>
                <w:szCs w:val="14"/>
              </w:rPr>
              <w:t>Retired Stock EE</w:t>
            </w:r>
          </w:p>
        </w:tc>
        <w:tc>
          <w:tcPr>
            <w:tcW w:w="995" w:type="dxa"/>
            <w:tcBorders>
              <w:top w:val="nil"/>
              <w:left w:val="nil"/>
              <w:bottom w:val="nil"/>
              <w:right w:val="nil"/>
            </w:tcBorders>
            <w:shd w:val="clear" w:color="auto" w:fill="808080"/>
            <w:vAlign w:val="bottom"/>
          </w:tcPr>
          <w:p w14:paraId="3E6380F3" w14:textId="77777777" w:rsidR="00A031A6" w:rsidRDefault="00916FD0">
            <w:pPr>
              <w:rPr>
                <w:b/>
                <w:color w:val="FFFFFF"/>
                <w:sz w:val="14"/>
                <w:szCs w:val="14"/>
              </w:rPr>
            </w:pPr>
            <w:r>
              <w:rPr>
                <w:b/>
                <w:color w:val="FFFFFF"/>
                <w:sz w:val="14"/>
                <w:szCs w:val="14"/>
              </w:rPr>
              <w:t>Existing</w:t>
            </w:r>
          </w:p>
        </w:tc>
        <w:tc>
          <w:tcPr>
            <w:tcW w:w="986" w:type="dxa"/>
            <w:gridSpan w:val="2"/>
            <w:tcBorders>
              <w:top w:val="nil"/>
              <w:left w:val="nil"/>
              <w:bottom w:val="nil"/>
              <w:right w:val="nil"/>
            </w:tcBorders>
            <w:shd w:val="clear" w:color="auto" w:fill="808080"/>
            <w:vAlign w:val="bottom"/>
          </w:tcPr>
          <w:p w14:paraId="0A56CC10" w14:textId="77777777" w:rsidR="00A031A6" w:rsidRDefault="00916FD0">
            <w:pPr>
              <w:rPr>
                <w:b/>
                <w:color w:val="FFFFFF"/>
                <w:sz w:val="14"/>
                <w:szCs w:val="14"/>
              </w:rPr>
            </w:pPr>
            <w:r>
              <w:rPr>
                <w:b/>
                <w:color w:val="FFFFFF"/>
                <w:sz w:val="14"/>
                <w:szCs w:val="14"/>
              </w:rPr>
              <w:t>Existing</w:t>
            </w:r>
          </w:p>
        </w:tc>
        <w:tc>
          <w:tcPr>
            <w:tcW w:w="1214" w:type="dxa"/>
            <w:gridSpan w:val="2"/>
            <w:tcBorders>
              <w:top w:val="nil"/>
              <w:left w:val="nil"/>
              <w:bottom w:val="nil"/>
              <w:right w:val="nil"/>
            </w:tcBorders>
            <w:shd w:val="clear" w:color="auto" w:fill="808080"/>
            <w:vAlign w:val="bottom"/>
          </w:tcPr>
          <w:p w14:paraId="3EDF36DD" w14:textId="77777777" w:rsidR="00A031A6" w:rsidRDefault="00916FD0">
            <w:pPr>
              <w:rPr>
                <w:b/>
                <w:color w:val="FFFFFF"/>
                <w:sz w:val="14"/>
                <w:szCs w:val="14"/>
              </w:rPr>
            </w:pPr>
            <w:r>
              <w:rPr>
                <w:b/>
                <w:color w:val="FFFFFF"/>
                <w:sz w:val="14"/>
                <w:szCs w:val="14"/>
              </w:rPr>
              <w:t>Energy Efficient</w:t>
            </w:r>
          </w:p>
        </w:tc>
        <w:tc>
          <w:tcPr>
            <w:tcW w:w="1216" w:type="dxa"/>
            <w:gridSpan w:val="2"/>
            <w:tcBorders>
              <w:top w:val="nil"/>
              <w:left w:val="nil"/>
              <w:bottom w:val="nil"/>
              <w:right w:val="nil"/>
            </w:tcBorders>
            <w:shd w:val="clear" w:color="auto" w:fill="808080"/>
            <w:vAlign w:val="bottom"/>
          </w:tcPr>
          <w:p w14:paraId="144886D8" w14:textId="77777777" w:rsidR="00A031A6" w:rsidRDefault="00916FD0">
            <w:pPr>
              <w:rPr>
                <w:b/>
                <w:color w:val="FFFFFF"/>
                <w:sz w:val="14"/>
                <w:szCs w:val="14"/>
              </w:rPr>
            </w:pPr>
            <w:r>
              <w:rPr>
                <w:b/>
                <w:color w:val="FFFFFF"/>
                <w:sz w:val="14"/>
                <w:szCs w:val="14"/>
              </w:rPr>
              <w:t>Energy Efficient</w:t>
            </w:r>
          </w:p>
        </w:tc>
        <w:tc>
          <w:tcPr>
            <w:tcW w:w="988" w:type="dxa"/>
            <w:gridSpan w:val="2"/>
            <w:tcBorders>
              <w:top w:val="nil"/>
              <w:left w:val="nil"/>
              <w:bottom w:val="nil"/>
              <w:right w:val="nil"/>
            </w:tcBorders>
            <w:shd w:val="clear" w:color="auto" w:fill="808080"/>
            <w:vAlign w:val="bottom"/>
          </w:tcPr>
          <w:p w14:paraId="3D69B5AE" w14:textId="77777777" w:rsidR="00A031A6" w:rsidRDefault="00916FD0">
            <w:pPr>
              <w:rPr>
                <w:b/>
                <w:color w:val="FFFFFF"/>
                <w:sz w:val="14"/>
                <w:szCs w:val="14"/>
              </w:rPr>
            </w:pPr>
            <w:r>
              <w:rPr>
                <w:b/>
                <w:color w:val="FFFFFF"/>
                <w:sz w:val="14"/>
                <w:szCs w:val="14"/>
              </w:rPr>
              <w:t>Saturation</w:t>
            </w:r>
          </w:p>
        </w:tc>
        <w:tc>
          <w:tcPr>
            <w:tcW w:w="1426" w:type="dxa"/>
            <w:gridSpan w:val="2"/>
            <w:tcBorders>
              <w:top w:val="nil"/>
              <w:left w:val="nil"/>
              <w:bottom w:val="nil"/>
              <w:right w:val="nil"/>
            </w:tcBorders>
            <w:shd w:val="clear" w:color="auto" w:fill="808080"/>
            <w:vAlign w:val="bottom"/>
          </w:tcPr>
          <w:p w14:paraId="1B6BAA4E" w14:textId="77777777" w:rsidR="00A031A6" w:rsidRDefault="00916FD0">
            <w:pPr>
              <w:rPr>
                <w:b/>
                <w:color w:val="FFFFFF"/>
                <w:sz w:val="14"/>
                <w:szCs w:val="14"/>
              </w:rPr>
            </w:pPr>
            <w:r>
              <w:rPr>
                <w:b/>
                <w:color w:val="FFFFFF"/>
                <w:sz w:val="14"/>
                <w:szCs w:val="14"/>
              </w:rPr>
              <w:t>Stock (Constraints)</w:t>
            </w:r>
          </w:p>
        </w:tc>
        <w:tc>
          <w:tcPr>
            <w:tcW w:w="1070" w:type="dxa"/>
            <w:tcBorders>
              <w:top w:val="nil"/>
              <w:left w:val="nil"/>
              <w:bottom w:val="nil"/>
              <w:right w:val="nil"/>
            </w:tcBorders>
            <w:shd w:val="clear" w:color="auto" w:fill="808080"/>
            <w:vAlign w:val="bottom"/>
          </w:tcPr>
          <w:p w14:paraId="0C7140DD" w14:textId="77777777" w:rsidR="00A031A6" w:rsidRDefault="00916FD0">
            <w:pPr>
              <w:rPr>
                <w:b/>
                <w:color w:val="FFFFFF"/>
                <w:sz w:val="14"/>
                <w:szCs w:val="14"/>
              </w:rPr>
            </w:pPr>
            <w:r>
              <w:rPr>
                <w:b/>
                <w:color w:val="FFFFFF"/>
                <w:sz w:val="14"/>
                <w:szCs w:val="14"/>
              </w:rPr>
              <w:t>Replacement</w:t>
            </w:r>
          </w:p>
        </w:tc>
      </w:tr>
      <w:tr w:rsidR="00A031A6" w14:paraId="2595C388" w14:textId="77777777">
        <w:trPr>
          <w:trHeight w:val="57"/>
        </w:trPr>
        <w:tc>
          <w:tcPr>
            <w:tcW w:w="1560" w:type="dxa"/>
            <w:gridSpan w:val="2"/>
            <w:tcBorders>
              <w:top w:val="nil"/>
              <w:left w:val="nil"/>
              <w:bottom w:val="nil"/>
              <w:right w:val="nil"/>
            </w:tcBorders>
            <w:shd w:val="clear" w:color="auto" w:fill="FFFFFF"/>
            <w:vAlign w:val="bottom"/>
          </w:tcPr>
          <w:p w14:paraId="6B111FB7" w14:textId="77777777" w:rsidR="00A031A6" w:rsidRDefault="00916FD0">
            <w:pPr>
              <w:jc w:val="right"/>
              <w:rPr>
                <w:color w:val="000000"/>
                <w:sz w:val="14"/>
                <w:szCs w:val="14"/>
              </w:rPr>
            </w:pPr>
            <w:r>
              <w:rPr>
                <w:color w:val="000000"/>
                <w:sz w:val="14"/>
                <w:szCs w:val="14"/>
              </w:rPr>
              <w:t>2018</w:t>
            </w:r>
          </w:p>
        </w:tc>
        <w:tc>
          <w:tcPr>
            <w:tcW w:w="1169" w:type="dxa"/>
            <w:tcBorders>
              <w:top w:val="nil"/>
              <w:left w:val="nil"/>
              <w:bottom w:val="nil"/>
              <w:right w:val="nil"/>
            </w:tcBorders>
            <w:shd w:val="clear" w:color="auto" w:fill="FFFFFF"/>
            <w:vAlign w:val="bottom"/>
          </w:tcPr>
          <w:p w14:paraId="0AFA9204" w14:textId="77777777" w:rsidR="00A031A6" w:rsidRDefault="00916FD0">
            <w:pPr>
              <w:jc w:val="right"/>
              <w:rPr>
                <w:color w:val="000000"/>
                <w:sz w:val="14"/>
                <w:szCs w:val="14"/>
              </w:rPr>
            </w:pPr>
            <w:r>
              <w:rPr>
                <w:color w:val="000000"/>
                <w:sz w:val="14"/>
                <w:szCs w:val="14"/>
              </w:rPr>
              <w:t>36,154,932</w:t>
            </w:r>
          </w:p>
        </w:tc>
        <w:tc>
          <w:tcPr>
            <w:tcW w:w="1043" w:type="dxa"/>
            <w:gridSpan w:val="2"/>
            <w:tcBorders>
              <w:top w:val="nil"/>
              <w:left w:val="nil"/>
              <w:bottom w:val="nil"/>
              <w:right w:val="nil"/>
            </w:tcBorders>
            <w:shd w:val="clear" w:color="auto" w:fill="FFFFFF"/>
            <w:vAlign w:val="bottom"/>
          </w:tcPr>
          <w:p w14:paraId="49C05189" w14:textId="77777777" w:rsidR="00A031A6" w:rsidRDefault="00916FD0">
            <w:pPr>
              <w:rPr>
                <w:color w:val="000000"/>
                <w:sz w:val="14"/>
                <w:szCs w:val="14"/>
              </w:rPr>
            </w:pPr>
            <w:r>
              <w:rPr>
                <w:color w:val="000000"/>
                <w:sz w:val="14"/>
                <w:szCs w:val="14"/>
              </w:rPr>
              <w:t> </w:t>
            </w:r>
          </w:p>
        </w:tc>
        <w:tc>
          <w:tcPr>
            <w:tcW w:w="967" w:type="dxa"/>
            <w:gridSpan w:val="2"/>
            <w:tcBorders>
              <w:top w:val="nil"/>
              <w:left w:val="nil"/>
              <w:bottom w:val="nil"/>
              <w:right w:val="nil"/>
            </w:tcBorders>
            <w:shd w:val="clear" w:color="auto" w:fill="FFFFFF"/>
            <w:vAlign w:val="bottom"/>
          </w:tcPr>
          <w:p w14:paraId="7204C371"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3BCABB9D" w14:textId="77777777" w:rsidR="00A031A6" w:rsidRDefault="00916FD0">
            <w:pPr>
              <w:jc w:val="right"/>
              <w:rPr>
                <w:color w:val="000000"/>
                <w:sz w:val="14"/>
                <w:szCs w:val="14"/>
              </w:rPr>
            </w:pPr>
            <w:r>
              <w:rPr>
                <w:color w:val="000000"/>
                <w:sz w:val="14"/>
                <w:szCs w:val="14"/>
              </w:rPr>
              <w:t>0</w:t>
            </w:r>
          </w:p>
        </w:tc>
        <w:tc>
          <w:tcPr>
            <w:tcW w:w="1254" w:type="dxa"/>
            <w:gridSpan w:val="2"/>
            <w:tcBorders>
              <w:top w:val="nil"/>
              <w:left w:val="nil"/>
              <w:bottom w:val="nil"/>
              <w:right w:val="nil"/>
            </w:tcBorders>
            <w:shd w:val="clear" w:color="auto" w:fill="FFFFFF"/>
            <w:vAlign w:val="bottom"/>
          </w:tcPr>
          <w:p w14:paraId="6B8C4FB9"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00DB564F" w14:textId="77777777" w:rsidR="00A031A6" w:rsidRDefault="00916FD0">
            <w:pPr>
              <w:jc w:val="right"/>
              <w:rPr>
                <w:color w:val="000000"/>
                <w:sz w:val="14"/>
                <w:szCs w:val="14"/>
              </w:rPr>
            </w:pPr>
            <w:r>
              <w:rPr>
                <w:color w:val="000000"/>
                <w:sz w:val="14"/>
                <w:szCs w:val="14"/>
              </w:rPr>
              <w:t>36,154,932</w:t>
            </w:r>
          </w:p>
        </w:tc>
        <w:tc>
          <w:tcPr>
            <w:tcW w:w="986" w:type="dxa"/>
            <w:gridSpan w:val="2"/>
            <w:tcBorders>
              <w:top w:val="nil"/>
              <w:left w:val="nil"/>
              <w:bottom w:val="nil"/>
              <w:right w:val="nil"/>
            </w:tcBorders>
            <w:shd w:val="clear" w:color="auto" w:fill="FFFFFF"/>
            <w:vAlign w:val="bottom"/>
          </w:tcPr>
          <w:p w14:paraId="798ACFF7"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5D592A92"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40C30160"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14188DA7" w14:textId="77777777" w:rsidR="00A031A6" w:rsidRDefault="00916FD0">
            <w:pPr>
              <w:jc w:val="right"/>
              <w:rPr>
                <w:color w:val="000000"/>
                <w:sz w:val="14"/>
                <w:szCs w:val="14"/>
              </w:rPr>
            </w:pPr>
            <w:r>
              <w:rPr>
                <w:color w:val="000000"/>
                <w:sz w:val="14"/>
                <w:szCs w:val="14"/>
              </w:rPr>
              <w:t>53%</w:t>
            </w:r>
          </w:p>
        </w:tc>
        <w:tc>
          <w:tcPr>
            <w:tcW w:w="1426" w:type="dxa"/>
            <w:gridSpan w:val="2"/>
            <w:tcBorders>
              <w:top w:val="nil"/>
              <w:left w:val="nil"/>
              <w:bottom w:val="nil"/>
              <w:right w:val="nil"/>
            </w:tcBorders>
            <w:shd w:val="clear" w:color="auto" w:fill="FFFFFF"/>
            <w:vAlign w:val="bottom"/>
          </w:tcPr>
          <w:p w14:paraId="0CFF07FA" w14:textId="77777777" w:rsidR="00A031A6" w:rsidRDefault="00916FD0">
            <w:pPr>
              <w:jc w:val="right"/>
              <w:rPr>
                <w:color w:val="000000"/>
                <w:sz w:val="14"/>
                <w:szCs w:val="14"/>
              </w:rPr>
            </w:pPr>
            <w:r>
              <w:rPr>
                <w:color w:val="000000"/>
                <w:sz w:val="14"/>
                <w:szCs w:val="14"/>
              </w:rPr>
              <w:t>36,154,932</w:t>
            </w:r>
          </w:p>
        </w:tc>
        <w:tc>
          <w:tcPr>
            <w:tcW w:w="1070" w:type="dxa"/>
            <w:tcBorders>
              <w:top w:val="nil"/>
              <w:left w:val="nil"/>
              <w:bottom w:val="nil"/>
              <w:right w:val="nil"/>
            </w:tcBorders>
            <w:shd w:val="clear" w:color="auto" w:fill="FFFFFF"/>
            <w:vAlign w:val="bottom"/>
          </w:tcPr>
          <w:p w14:paraId="2EE1C029" w14:textId="77777777" w:rsidR="00A031A6" w:rsidRDefault="00916FD0">
            <w:pPr>
              <w:jc w:val="right"/>
              <w:rPr>
                <w:color w:val="000000"/>
                <w:sz w:val="14"/>
                <w:szCs w:val="14"/>
              </w:rPr>
            </w:pPr>
            <w:r>
              <w:rPr>
                <w:color w:val="000000"/>
                <w:sz w:val="14"/>
                <w:szCs w:val="14"/>
              </w:rPr>
              <w:t>0%</w:t>
            </w:r>
          </w:p>
        </w:tc>
      </w:tr>
      <w:tr w:rsidR="00A031A6" w14:paraId="276B3CD1" w14:textId="77777777">
        <w:trPr>
          <w:trHeight w:val="57"/>
        </w:trPr>
        <w:tc>
          <w:tcPr>
            <w:tcW w:w="1560" w:type="dxa"/>
            <w:gridSpan w:val="2"/>
            <w:tcBorders>
              <w:top w:val="nil"/>
              <w:left w:val="nil"/>
              <w:bottom w:val="nil"/>
              <w:right w:val="nil"/>
            </w:tcBorders>
            <w:shd w:val="clear" w:color="auto" w:fill="FFFFFF"/>
            <w:vAlign w:val="bottom"/>
          </w:tcPr>
          <w:p w14:paraId="7D7AFBB0" w14:textId="77777777" w:rsidR="00A031A6" w:rsidRDefault="00916FD0">
            <w:pPr>
              <w:jc w:val="right"/>
              <w:rPr>
                <w:color w:val="000000"/>
                <w:sz w:val="14"/>
                <w:szCs w:val="14"/>
              </w:rPr>
            </w:pPr>
            <w:r>
              <w:rPr>
                <w:color w:val="000000"/>
                <w:sz w:val="14"/>
                <w:szCs w:val="14"/>
              </w:rPr>
              <w:t>2019</w:t>
            </w:r>
          </w:p>
        </w:tc>
        <w:tc>
          <w:tcPr>
            <w:tcW w:w="1169" w:type="dxa"/>
            <w:tcBorders>
              <w:top w:val="nil"/>
              <w:left w:val="nil"/>
              <w:bottom w:val="nil"/>
              <w:right w:val="nil"/>
            </w:tcBorders>
            <w:shd w:val="clear" w:color="auto" w:fill="FFFFFF"/>
            <w:vAlign w:val="bottom"/>
          </w:tcPr>
          <w:p w14:paraId="7216937C" w14:textId="77777777" w:rsidR="00A031A6" w:rsidRDefault="00916FD0">
            <w:pPr>
              <w:jc w:val="right"/>
              <w:rPr>
                <w:color w:val="000000"/>
                <w:sz w:val="14"/>
                <w:szCs w:val="14"/>
              </w:rPr>
            </w:pPr>
            <w:r>
              <w:rPr>
                <w:color w:val="000000"/>
                <w:sz w:val="14"/>
                <w:szCs w:val="14"/>
              </w:rPr>
              <w:t>35,180,948</w:t>
            </w:r>
          </w:p>
        </w:tc>
        <w:tc>
          <w:tcPr>
            <w:tcW w:w="1043" w:type="dxa"/>
            <w:gridSpan w:val="2"/>
            <w:tcBorders>
              <w:top w:val="nil"/>
              <w:left w:val="nil"/>
              <w:bottom w:val="nil"/>
              <w:right w:val="nil"/>
            </w:tcBorders>
            <w:shd w:val="clear" w:color="auto" w:fill="FFFFFF"/>
            <w:vAlign w:val="bottom"/>
          </w:tcPr>
          <w:p w14:paraId="6724E252" w14:textId="77777777" w:rsidR="00A031A6" w:rsidRDefault="00916FD0">
            <w:pPr>
              <w:jc w:val="right"/>
              <w:rPr>
                <w:color w:val="000000"/>
                <w:sz w:val="14"/>
                <w:szCs w:val="14"/>
              </w:rPr>
            </w:pPr>
            <w:r>
              <w:rPr>
                <w:color w:val="000000"/>
                <w:sz w:val="14"/>
                <w:szCs w:val="14"/>
              </w:rPr>
              <w:t>36,154,932</w:t>
            </w:r>
          </w:p>
        </w:tc>
        <w:tc>
          <w:tcPr>
            <w:tcW w:w="967" w:type="dxa"/>
            <w:gridSpan w:val="2"/>
            <w:tcBorders>
              <w:top w:val="nil"/>
              <w:left w:val="nil"/>
              <w:bottom w:val="nil"/>
              <w:right w:val="nil"/>
            </w:tcBorders>
            <w:shd w:val="clear" w:color="auto" w:fill="FFFFFF"/>
            <w:vAlign w:val="bottom"/>
          </w:tcPr>
          <w:p w14:paraId="0D0B61BF" w14:textId="77777777" w:rsidR="00A031A6" w:rsidRDefault="00916FD0">
            <w:pPr>
              <w:jc w:val="right"/>
              <w:rPr>
                <w:color w:val="000000"/>
                <w:sz w:val="14"/>
                <w:szCs w:val="14"/>
              </w:rPr>
            </w:pPr>
            <w:r>
              <w:rPr>
                <w:color w:val="000000"/>
                <w:sz w:val="14"/>
                <w:szCs w:val="14"/>
              </w:rPr>
              <w:t>2,641,509</w:t>
            </w:r>
          </w:p>
        </w:tc>
        <w:tc>
          <w:tcPr>
            <w:tcW w:w="1510" w:type="dxa"/>
            <w:gridSpan w:val="2"/>
            <w:tcBorders>
              <w:top w:val="nil"/>
              <w:left w:val="nil"/>
              <w:bottom w:val="nil"/>
              <w:right w:val="nil"/>
            </w:tcBorders>
            <w:shd w:val="clear" w:color="auto" w:fill="FFFFFF"/>
            <w:vAlign w:val="bottom"/>
          </w:tcPr>
          <w:p w14:paraId="08B19CD4" w14:textId="77777777" w:rsidR="00A031A6" w:rsidRDefault="00916FD0">
            <w:pPr>
              <w:jc w:val="right"/>
              <w:rPr>
                <w:color w:val="000000"/>
                <w:sz w:val="14"/>
                <w:szCs w:val="14"/>
              </w:rPr>
            </w:pPr>
            <w:r>
              <w:rPr>
                <w:color w:val="000000"/>
                <w:sz w:val="14"/>
                <w:szCs w:val="14"/>
              </w:rPr>
              <w:t>3,615,493</w:t>
            </w:r>
          </w:p>
        </w:tc>
        <w:tc>
          <w:tcPr>
            <w:tcW w:w="1254" w:type="dxa"/>
            <w:gridSpan w:val="2"/>
            <w:tcBorders>
              <w:top w:val="nil"/>
              <w:left w:val="nil"/>
              <w:bottom w:val="nil"/>
              <w:right w:val="nil"/>
            </w:tcBorders>
            <w:shd w:val="clear" w:color="auto" w:fill="FFFFFF"/>
            <w:vAlign w:val="bottom"/>
          </w:tcPr>
          <w:p w14:paraId="20DA2C96"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6CED397A" w14:textId="77777777" w:rsidR="00A031A6" w:rsidRDefault="00916FD0">
            <w:pPr>
              <w:jc w:val="right"/>
              <w:rPr>
                <w:color w:val="000000"/>
                <w:sz w:val="14"/>
                <w:szCs w:val="14"/>
              </w:rPr>
            </w:pPr>
            <w:r>
              <w:rPr>
                <w:color w:val="000000"/>
                <w:sz w:val="14"/>
                <w:szCs w:val="14"/>
              </w:rPr>
              <w:t>35,180,948</w:t>
            </w:r>
          </w:p>
        </w:tc>
        <w:tc>
          <w:tcPr>
            <w:tcW w:w="986" w:type="dxa"/>
            <w:gridSpan w:val="2"/>
            <w:tcBorders>
              <w:top w:val="nil"/>
              <w:left w:val="nil"/>
              <w:bottom w:val="nil"/>
              <w:right w:val="nil"/>
            </w:tcBorders>
            <w:shd w:val="clear" w:color="auto" w:fill="FFFFFF"/>
            <w:vAlign w:val="bottom"/>
          </w:tcPr>
          <w:p w14:paraId="63C2E5FE"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46FE3809"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21B8874A"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3F2AE971" w14:textId="77777777" w:rsidR="00A031A6" w:rsidRDefault="00916FD0">
            <w:pPr>
              <w:jc w:val="right"/>
              <w:rPr>
                <w:color w:val="000000"/>
                <w:sz w:val="14"/>
                <w:szCs w:val="14"/>
              </w:rPr>
            </w:pPr>
            <w:r>
              <w:rPr>
                <w:color w:val="000000"/>
                <w:sz w:val="14"/>
                <w:szCs w:val="14"/>
              </w:rPr>
              <w:t>51%</w:t>
            </w:r>
          </w:p>
        </w:tc>
        <w:tc>
          <w:tcPr>
            <w:tcW w:w="1426" w:type="dxa"/>
            <w:gridSpan w:val="2"/>
            <w:tcBorders>
              <w:top w:val="nil"/>
              <w:left w:val="nil"/>
              <w:bottom w:val="nil"/>
              <w:right w:val="nil"/>
            </w:tcBorders>
            <w:shd w:val="clear" w:color="auto" w:fill="FFFFFF"/>
            <w:vAlign w:val="bottom"/>
          </w:tcPr>
          <w:p w14:paraId="6C4A596F" w14:textId="77777777" w:rsidR="00A031A6" w:rsidRDefault="00916FD0">
            <w:pPr>
              <w:jc w:val="right"/>
              <w:rPr>
                <w:color w:val="000000"/>
                <w:sz w:val="14"/>
                <w:szCs w:val="14"/>
              </w:rPr>
            </w:pPr>
            <w:r>
              <w:rPr>
                <w:color w:val="000000"/>
                <w:sz w:val="14"/>
                <w:szCs w:val="14"/>
              </w:rPr>
              <w:t>35,180,948</w:t>
            </w:r>
          </w:p>
        </w:tc>
        <w:tc>
          <w:tcPr>
            <w:tcW w:w="1070" w:type="dxa"/>
            <w:tcBorders>
              <w:top w:val="nil"/>
              <w:left w:val="nil"/>
              <w:bottom w:val="nil"/>
              <w:right w:val="nil"/>
            </w:tcBorders>
            <w:shd w:val="clear" w:color="auto" w:fill="FFFFFF"/>
            <w:vAlign w:val="bottom"/>
          </w:tcPr>
          <w:p w14:paraId="7B55D8CD" w14:textId="77777777" w:rsidR="00A031A6" w:rsidRDefault="00916FD0">
            <w:pPr>
              <w:jc w:val="right"/>
              <w:rPr>
                <w:color w:val="000000"/>
                <w:sz w:val="14"/>
                <w:szCs w:val="14"/>
              </w:rPr>
            </w:pPr>
            <w:r>
              <w:rPr>
                <w:color w:val="000000"/>
                <w:sz w:val="14"/>
                <w:szCs w:val="14"/>
              </w:rPr>
              <w:t>0%</w:t>
            </w:r>
          </w:p>
        </w:tc>
      </w:tr>
      <w:tr w:rsidR="00A031A6" w14:paraId="2C8D0341" w14:textId="77777777">
        <w:trPr>
          <w:trHeight w:val="57"/>
        </w:trPr>
        <w:tc>
          <w:tcPr>
            <w:tcW w:w="1560" w:type="dxa"/>
            <w:gridSpan w:val="2"/>
            <w:tcBorders>
              <w:top w:val="nil"/>
              <w:left w:val="nil"/>
              <w:bottom w:val="nil"/>
              <w:right w:val="nil"/>
            </w:tcBorders>
            <w:shd w:val="clear" w:color="auto" w:fill="FFFFFF"/>
            <w:vAlign w:val="bottom"/>
          </w:tcPr>
          <w:p w14:paraId="5808D9A4" w14:textId="77777777" w:rsidR="00A031A6" w:rsidRDefault="00916FD0">
            <w:pPr>
              <w:jc w:val="right"/>
              <w:rPr>
                <w:color w:val="000000"/>
                <w:sz w:val="14"/>
                <w:szCs w:val="14"/>
              </w:rPr>
            </w:pPr>
            <w:r>
              <w:rPr>
                <w:color w:val="000000"/>
                <w:sz w:val="14"/>
                <w:szCs w:val="14"/>
              </w:rPr>
              <w:t>2020</w:t>
            </w:r>
          </w:p>
        </w:tc>
        <w:tc>
          <w:tcPr>
            <w:tcW w:w="1169" w:type="dxa"/>
            <w:tcBorders>
              <w:top w:val="nil"/>
              <w:left w:val="nil"/>
              <w:bottom w:val="nil"/>
              <w:right w:val="nil"/>
            </w:tcBorders>
            <w:shd w:val="clear" w:color="auto" w:fill="FFFFFF"/>
            <w:vAlign w:val="bottom"/>
          </w:tcPr>
          <w:p w14:paraId="66925FDD" w14:textId="77777777" w:rsidR="00A031A6" w:rsidRDefault="00916FD0">
            <w:pPr>
              <w:jc w:val="right"/>
              <w:rPr>
                <w:color w:val="000000"/>
                <w:sz w:val="14"/>
                <w:szCs w:val="14"/>
              </w:rPr>
            </w:pPr>
            <w:r>
              <w:rPr>
                <w:color w:val="000000"/>
                <w:sz w:val="14"/>
                <w:szCs w:val="14"/>
              </w:rPr>
              <w:t>34,568,514</w:t>
            </w:r>
          </w:p>
        </w:tc>
        <w:tc>
          <w:tcPr>
            <w:tcW w:w="1043" w:type="dxa"/>
            <w:gridSpan w:val="2"/>
            <w:tcBorders>
              <w:top w:val="nil"/>
              <w:left w:val="nil"/>
              <w:bottom w:val="nil"/>
              <w:right w:val="nil"/>
            </w:tcBorders>
            <w:shd w:val="clear" w:color="auto" w:fill="FFFFFF"/>
            <w:vAlign w:val="bottom"/>
          </w:tcPr>
          <w:p w14:paraId="187481B8" w14:textId="77777777" w:rsidR="00A031A6" w:rsidRDefault="00916FD0">
            <w:pPr>
              <w:jc w:val="right"/>
              <w:rPr>
                <w:color w:val="000000"/>
                <w:sz w:val="14"/>
                <w:szCs w:val="14"/>
              </w:rPr>
            </w:pPr>
            <w:r>
              <w:rPr>
                <w:color w:val="000000"/>
                <w:sz w:val="14"/>
                <w:szCs w:val="14"/>
              </w:rPr>
              <w:t>35,180,948</w:t>
            </w:r>
          </w:p>
        </w:tc>
        <w:tc>
          <w:tcPr>
            <w:tcW w:w="967" w:type="dxa"/>
            <w:gridSpan w:val="2"/>
            <w:tcBorders>
              <w:top w:val="nil"/>
              <w:left w:val="nil"/>
              <w:bottom w:val="nil"/>
              <w:right w:val="nil"/>
            </w:tcBorders>
            <w:shd w:val="clear" w:color="auto" w:fill="FFFFFF"/>
            <w:vAlign w:val="bottom"/>
          </w:tcPr>
          <w:p w14:paraId="48A140EA" w14:textId="77777777" w:rsidR="00A031A6" w:rsidRDefault="00916FD0">
            <w:pPr>
              <w:jc w:val="right"/>
              <w:rPr>
                <w:color w:val="000000"/>
                <w:sz w:val="14"/>
                <w:szCs w:val="14"/>
              </w:rPr>
            </w:pPr>
            <w:r>
              <w:rPr>
                <w:color w:val="000000"/>
                <w:sz w:val="14"/>
                <w:szCs w:val="14"/>
              </w:rPr>
              <w:t>2,905,660</w:t>
            </w:r>
          </w:p>
        </w:tc>
        <w:tc>
          <w:tcPr>
            <w:tcW w:w="1510" w:type="dxa"/>
            <w:gridSpan w:val="2"/>
            <w:tcBorders>
              <w:top w:val="nil"/>
              <w:left w:val="nil"/>
              <w:bottom w:val="nil"/>
              <w:right w:val="nil"/>
            </w:tcBorders>
            <w:shd w:val="clear" w:color="auto" w:fill="FFFFFF"/>
            <w:vAlign w:val="bottom"/>
          </w:tcPr>
          <w:p w14:paraId="6D443F60" w14:textId="77777777" w:rsidR="00A031A6" w:rsidRDefault="00916FD0">
            <w:pPr>
              <w:jc w:val="right"/>
              <w:rPr>
                <w:color w:val="000000"/>
                <w:sz w:val="14"/>
                <w:szCs w:val="14"/>
              </w:rPr>
            </w:pPr>
            <w:r>
              <w:rPr>
                <w:color w:val="000000"/>
                <w:sz w:val="14"/>
                <w:szCs w:val="14"/>
              </w:rPr>
              <w:t>3,518,095</w:t>
            </w:r>
          </w:p>
        </w:tc>
        <w:tc>
          <w:tcPr>
            <w:tcW w:w="1254" w:type="dxa"/>
            <w:gridSpan w:val="2"/>
            <w:tcBorders>
              <w:top w:val="nil"/>
              <w:left w:val="nil"/>
              <w:bottom w:val="nil"/>
              <w:right w:val="nil"/>
            </w:tcBorders>
            <w:shd w:val="clear" w:color="auto" w:fill="FFFFFF"/>
            <w:vAlign w:val="bottom"/>
          </w:tcPr>
          <w:p w14:paraId="6E403511"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3040BC4C" w14:textId="77777777" w:rsidR="00A031A6" w:rsidRDefault="00916FD0">
            <w:pPr>
              <w:jc w:val="right"/>
              <w:rPr>
                <w:color w:val="000000"/>
                <w:sz w:val="14"/>
                <w:szCs w:val="14"/>
              </w:rPr>
            </w:pPr>
            <w:r>
              <w:rPr>
                <w:color w:val="000000"/>
                <w:sz w:val="14"/>
                <w:szCs w:val="14"/>
              </w:rPr>
              <w:t>34,568,514</w:t>
            </w:r>
          </w:p>
        </w:tc>
        <w:tc>
          <w:tcPr>
            <w:tcW w:w="986" w:type="dxa"/>
            <w:gridSpan w:val="2"/>
            <w:tcBorders>
              <w:top w:val="nil"/>
              <w:left w:val="nil"/>
              <w:bottom w:val="nil"/>
              <w:right w:val="nil"/>
            </w:tcBorders>
            <w:shd w:val="clear" w:color="auto" w:fill="FFFFFF"/>
            <w:vAlign w:val="bottom"/>
          </w:tcPr>
          <w:p w14:paraId="3E847179"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7A01FBD5"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39270228"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288A820A" w14:textId="77777777" w:rsidR="00A031A6" w:rsidRDefault="00916FD0">
            <w:pPr>
              <w:jc w:val="right"/>
              <w:rPr>
                <w:color w:val="000000"/>
                <w:sz w:val="14"/>
                <w:szCs w:val="14"/>
              </w:rPr>
            </w:pPr>
            <w:r>
              <w:rPr>
                <w:color w:val="000000"/>
                <w:sz w:val="14"/>
                <w:szCs w:val="14"/>
              </w:rPr>
              <w:t>50%</w:t>
            </w:r>
          </w:p>
        </w:tc>
        <w:tc>
          <w:tcPr>
            <w:tcW w:w="1426" w:type="dxa"/>
            <w:gridSpan w:val="2"/>
            <w:tcBorders>
              <w:top w:val="nil"/>
              <w:left w:val="nil"/>
              <w:bottom w:val="nil"/>
              <w:right w:val="nil"/>
            </w:tcBorders>
            <w:shd w:val="clear" w:color="auto" w:fill="FFFFFF"/>
            <w:vAlign w:val="bottom"/>
          </w:tcPr>
          <w:p w14:paraId="64AB7460" w14:textId="77777777" w:rsidR="00A031A6" w:rsidRDefault="00916FD0">
            <w:pPr>
              <w:jc w:val="right"/>
              <w:rPr>
                <w:color w:val="000000"/>
                <w:sz w:val="14"/>
                <w:szCs w:val="14"/>
              </w:rPr>
            </w:pPr>
            <w:r>
              <w:rPr>
                <w:color w:val="000000"/>
                <w:sz w:val="14"/>
                <w:szCs w:val="14"/>
              </w:rPr>
              <w:t>34,568,514</w:t>
            </w:r>
          </w:p>
        </w:tc>
        <w:tc>
          <w:tcPr>
            <w:tcW w:w="1070" w:type="dxa"/>
            <w:tcBorders>
              <w:top w:val="nil"/>
              <w:left w:val="nil"/>
              <w:bottom w:val="nil"/>
              <w:right w:val="nil"/>
            </w:tcBorders>
            <w:shd w:val="clear" w:color="auto" w:fill="FFFFFF"/>
            <w:vAlign w:val="bottom"/>
          </w:tcPr>
          <w:p w14:paraId="209C704D" w14:textId="77777777" w:rsidR="00A031A6" w:rsidRDefault="00916FD0">
            <w:pPr>
              <w:jc w:val="right"/>
              <w:rPr>
                <w:color w:val="000000"/>
                <w:sz w:val="14"/>
                <w:szCs w:val="14"/>
              </w:rPr>
            </w:pPr>
            <w:r>
              <w:rPr>
                <w:color w:val="000000"/>
                <w:sz w:val="14"/>
                <w:szCs w:val="14"/>
              </w:rPr>
              <w:t>0%</w:t>
            </w:r>
          </w:p>
        </w:tc>
      </w:tr>
      <w:tr w:rsidR="00A031A6" w14:paraId="2AB4176E" w14:textId="77777777">
        <w:trPr>
          <w:trHeight w:val="57"/>
        </w:trPr>
        <w:tc>
          <w:tcPr>
            <w:tcW w:w="1560" w:type="dxa"/>
            <w:gridSpan w:val="2"/>
            <w:tcBorders>
              <w:top w:val="nil"/>
              <w:left w:val="nil"/>
              <w:bottom w:val="nil"/>
              <w:right w:val="nil"/>
            </w:tcBorders>
            <w:shd w:val="clear" w:color="auto" w:fill="FFFFFF"/>
            <w:vAlign w:val="bottom"/>
          </w:tcPr>
          <w:p w14:paraId="38C2A0D1" w14:textId="77777777" w:rsidR="00A031A6" w:rsidRDefault="00916FD0">
            <w:pPr>
              <w:jc w:val="right"/>
              <w:rPr>
                <w:color w:val="000000"/>
                <w:sz w:val="14"/>
                <w:szCs w:val="14"/>
              </w:rPr>
            </w:pPr>
            <w:r>
              <w:rPr>
                <w:color w:val="000000"/>
                <w:sz w:val="14"/>
                <w:szCs w:val="14"/>
              </w:rPr>
              <w:t>2021</w:t>
            </w:r>
          </w:p>
        </w:tc>
        <w:tc>
          <w:tcPr>
            <w:tcW w:w="1169" w:type="dxa"/>
            <w:tcBorders>
              <w:top w:val="nil"/>
              <w:left w:val="nil"/>
              <w:bottom w:val="nil"/>
              <w:right w:val="nil"/>
            </w:tcBorders>
            <w:shd w:val="clear" w:color="auto" w:fill="FFFFFF"/>
            <w:vAlign w:val="bottom"/>
          </w:tcPr>
          <w:p w14:paraId="1DA0415A" w14:textId="77777777" w:rsidR="00A031A6" w:rsidRDefault="00916FD0">
            <w:pPr>
              <w:jc w:val="right"/>
              <w:rPr>
                <w:color w:val="000000"/>
                <w:sz w:val="14"/>
                <w:szCs w:val="14"/>
              </w:rPr>
            </w:pPr>
            <w:r>
              <w:rPr>
                <w:color w:val="000000"/>
                <w:sz w:val="14"/>
                <w:szCs w:val="14"/>
              </w:rPr>
              <w:t>34,307,889</w:t>
            </w:r>
          </w:p>
        </w:tc>
        <w:tc>
          <w:tcPr>
            <w:tcW w:w="1043" w:type="dxa"/>
            <w:gridSpan w:val="2"/>
            <w:tcBorders>
              <w:top w:val="nil"/>
              <w:left w:val="nil"/>
              <w:bottom w:val="nil"/>
              <w:right w:val="nil"/>
            </w:tcBorders>
            <w:shd w:val="clear" w:color="auto" w:fill="FFFFFF"/>
            <w:vAlign w:val="bottom"/>
          </w:tcPr>
          <w:p w14:paraId="27F7E1DA" w14:textId="77777777" w:rsidR="00A031A6" w:rsidRDefault="00916FD0">
            <w:pPr>
              <w:jc w:val="right"/>
              <w:rPr>
                <w:color w:val="000000"/>
                <w:sz w:val="14"/>
                <w:szCs w:val="14"/>
              </w:rPr>
            </w:pPr>
            <w:r>
              <w:rPr>
                <w:color w:val="000000"/>
                <w:sz w:val="14"/>
                <w:szCs w:val="14"/>
              </w:rPr>
              <w:t>34,568,514</w:t>
            </w:r>
          </w:p>
        </w:tc>
        <w:tc>
          <w:tcPr>
            <w:tcW w:w="967" w:type="dxa"/>
            <w:gridSpan w:val="2"/>
            <w:tcBorders>
              <w:top w:val="nil"/>
              <w:left w:val="nil"/>
              <w:bottom w:val="nil"/>
              <w:right w:val="nil"/>
            </w:tcBorders>
            <w:shd w:val="clear" w:color="auto" w:fill="FFFFFF"/>
            <w:vAlign w:val="bottom"/>
          </w:tcPr>
          <w:p w14:paraId="6BA03EF6" w14:textId="77777777" w:rsidR="00A031A6" w:rsidRDefault="00916FD0">
            <w:pPr>
              <w:jc w:val="right"/>
              <w:rPr>
                <w:color w:val="000000"/>
                <w:sz w:val="14"/>
                <w:szCs w:val="14"/>
              </w:rPr>
            </w:pPr>
            <w:r>
              <w:rPr>
                <w:color w:val="000000"/>
                <w:sz w:val="14"/>
                <w:szCs w:val="14"/>
              </w:rPr>
              <w:t>3,196,226</w:t>
            </w:r>
          </w:p>
        </w:tc>
        <w:tc>
          <w:tcPr>
            <w:tcW w:w="1510" w:type="dxa"/>
            <w:gridSpan w:val="2"/>
            <w:tcBorders>
              <w:top w:val="nil"/>
              <w:left w:val="nil"/>
              <w:bottom w:val="nil"/>
              <w:right w:val="nil"/>
            </w:tcBorders>
            <w:shd w:val="clear" w:color="auto" w:fill="FFFFFF"/>
            <w:vAlign w:val="bottom"/>
          </w:tcPr>
          <w:p w14:paraId="7D9C4A3E" w14:textId="77777777" w:rsidR="00A031A6" w:rsidRDefault="00916FD0">
            <w:pPr>
              <w:jc w:val="right"/>
              <w:rPr>
                <w:color w:val="000000"/>
                <w:sz w:val="14"/>
                <w:szCs w:val="14"/>
              </w:rPr>
            </w:pPr>
            <w:r>
              <w:rPr>
                <w:color w:val="000000"/>
                <w:sz w:val="14"/>
                <w:szCs w:val="14"/>
              </w:rPr>
              <w:t>3,456,851</w:t>
            </w:r>
          </w:p>
        </w:tc>
        <w:tc>
          <w:tcPr>
            <w:tcW w:w="1254" w:type="dxa"/>
            <w:gridSpan w:val="2"/>
            <w:tcBorders>
              <w:top w:val="nil"/>
              <w:left w:val="nil"/>
              <w:bottom w:val="nil"/>
              <w:right w:val="nil"/>
            </w:tcBorders>
            <w:shd w:val="clear" w:color="auto" w:fill="FFFFFF"/>
            <w:vAlign w:val="bottom"/>
          </w:tcPr>
          <w:p w14:paraId="6FD9157F"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761A9568" w14:textId="77777777" w:rsidR="00A031A6" w:rsidRDefault="00916FD0">
            <w:pPr>
              <w:jc w:val="right"/>
              <w:rPr>
                <w:color w:val="000000"/>
                <w:sz w:val="14"/>
                <w:szCs w:val="14"/>
              </w:rPr>
            </w:pPr>
            <w:r>
              <w:rPr>
                <w:color w:val="000000"/>
                <w:sz w:val="14"/>
                <w:szCs w:val="14"/>
              </w:rPr>
              <w:t>34,307,889</w:t>
            </w:r>
          </w:p>
        </w:tc>
        <w:tc>
          <w:tcPr>
            <w:tcW w:w="986" w:type="dxa"/>
            <w:gridSpan w:val="2"/>
            <w:tcBorders>
              <w:top w:val="nil"/>
              <w:left w:val="nil"/>
              <w:bottom w:val="nil"/>
              <w:right w:val="nil"/>
            </w:tcBorders>
            <w:shd w:val="clear" w:color="auto" w:fill="FFFFFF"/>
            <w:vAlign w:val="bottom"/>
          </w:tcPr>
          <w:p w14:paraId="74E2A2C0" w14:textId="77777777" w:rsidR="00A031A6" w:rsidRDefault="00916FD0">
            <w:pPr>
              <w:jc w:val="right"/>
              <w:rPr>
                <w:color w:val="000000"/>
                <w:sz w:val="14"/>
                <w:szCs w:val="14"/>
              </w:rPr>
            </w:pPr>
            <w:r>
              <w:rPr>
                <w:color w:val="000000"/>
                <w:sz w:val="14"/>
                <w:szCs w:val="14"/>
              </w:rPr>
              <w:t>100%</w:t>
            </w:r>
          </w:p>
        </w:tc>
        <w:tc>
          <w:tcPr>
            <w:tcW w:w="1214" w:type="dxa"/>
            <w:gridSpan w:val="2"/>
            <w:tcBorders>
              <w:top w:val="nil"/>
              <w:left w:val="nil"/>
              <w:bottom w:val="nil"/>
              <w:right w:val="nil"/>
            </w:tcBorders>
            <w:shd w:val="clear" w:color="auto" w:fill="FFFFFF"/>
            <w:vAlign w:val="bottom"/>
          </w:tcPr>
          <w:p w14:paraId="358A9636" w14:textId="77777777" w:rsidR="00A031A6" w:rsidRDefault="00916FD0">
            <w:pPr>
              <w:jc w:val="right"/>
              <w:rPr>
                <w:color w:val="000000"/>
                <w:sz w:val="14"/>
                <w:szCs w:val="14"/>
              </w:rPr>
            </w:pPr>
            <w:r>
              <w:rPr>
                <w:color w:val="000000"/>
                <w:sz w:val="14"/>
                <w:szCs w:val="14"/>
              </w:rPr>
              <w:t>0</w:t>
            </w:r>
          </w:p>
        </w:tc>
        <w:tc>
          <w:tcPr>
            <w:tcW w:w="1216" w:type="dxa"/>
            <w:gridSpan w:val="2"/>
            <w:tcBorders>
              <w:top w:val="nil"/>
              <w:left w:val="nil"/>
              <w:bottom w:val="nil"/>
              <w:right w:val="nil"/>
            </w:tcBorders>
            <w:shd w:val="clear" w:color="auto" w:fill="FFFFFF"/>
            <w:vAlign w:val="bottom"/>
          </w:tcPr>
          <w:p w14:paraId="20B17634" w14:textId="77777777" w:rsidR="00A031A6" w:rsidRDefault="00916FD0">
            <w:pPr>
              <w:jc w:val="right"/>
              <w:rPr>
                <w:color w:val="000000"/>
                <w:sz w:val="14"/>
                <w:szCs w:val="14"/>
              </w:rPr>
            </w:pPr>
            <w:r>
              <w:rPr>
                <w:color w:val="000000"/>
                <w:sz w:val="14"/>
                <w:szCs w:val="14"/>
              </w:rPr>
              <w:t>0%</w:t>
            </w:r>
          </w:p>
        </w:tc>
        <w:tc>
          <w:tcPr>
            <w:tcW w:w="988" w:type="dxa"/>
            <w:gridSpan w:val="2"/>
            <w:tcBorders>
              <w:top w:val="nil"/>
              <w:left w:val="nil"/>
              <w:bottom w:val="nil"/>
              <w:right w:val="nil"/>
            </w:tcBorders>
            <w:shd w:val="clear" w:color="auto" w:fill="FFFFFF"/>
            <w:vAlign w:val="bottom"/>
          </w:tcPr>
          <w:p w14:paraId="53106189" w14:textId="77777777"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14:paraId="367AAAE6" w14:textId="77777777" w:rsidR="00A031A6" w:rsidRDefault="00916FD0">
            <w:pPr>
              <w:jc w:val="right"/>
              <w:rPr>
                <w:color w:val="000000"/>
                <w:sz w:val="14"/>
                <w:szCs w:val="14"/>
              </w:rPr>
            </w:pPr>
            <w:r>
              <w:rPr>
                <w:color w:val="000000"/>
                <w:sz w:val="14"/>
                <w:szCs w:val="14"/>
              </w:rPr>
              <w:t>34,307,889</w:t>
            </w:r>
          </w:p>
        </w:tc>
        <w:tc>
          <w:tcPr>
            <w:tcW w:w="1070" w:type="dxa"/>
            <w:tcBorders>
              <w:top w:val="nil"/>
              <w:left w:val="nil"/>
              <w:bottom w:val="nil"/>
              <w:right w:val="nil"/>
            </w:tcBorders>
            <w:shd w:val="clear" w:color="auto" w:fill="FFFFFF"/>
            <w:vAlign w:val="bottom"/>
          </w:tcPr>
          <w:p w14:paraId="1AFB0323" w14:textId="77777777" w:rsidR="00A031A6" w:rsidRDefault="00916FD0">
            <w:pPr>
              <w:jc w:val="right"/>
              <w:rPr>
                <w:color w:val="000000"/>
                <w:sz w:val="14"/>
                <w:szCs w:val="14"/>
              </w:rPr>
            </w:pPr>
            <w:r>
              <w:rPr>
                <w:color w:val="000000"/>
                <w:sz w:val="14"/>
                <w:szCs w:val="14"/>
              </w:rPr>
              <w:t>0%</w:t>
            </w:r>
          </w:p>
        </w:tc>
      </w:tr>
      <w:tr w:rsidR="00A031A6" w14:paraId="72308668" w14:textId="77777777">
        <w:trPr>
          <w:trHeight w:val="57"/>
        </w:trPr>
        <w:tc>
          <w:tcPr>
            <w:tcW w:w="1560" w:type="dxa"/>
            <w:gridSpan w:val="2"/>
            <w:tcBorders>
              <w:top w:val="nil"/>
              <w:left w:val="nil"/>
              <w:bottom w:val="nil"/>
              <w:right w:val="nil"/>
            </w:tcBorders>
            <w:shd w:val="clear" w:color="auto" w:fill="FFFFFF"/>
            <w:vAlign w:val="bottom"/>
          </w:tcPr>
          <w:p w14:paraId="59F395E6" w14:textId="77777777" w:rsidR="00A031A6" w:rsidRDefault="00916FD0">
            <w:pPr>
              <w:jc w:val="right"/>
              <w:rPr>
                <w:color w:val="000000"/>
                <w:sz w:val="14"/>
                <w:szCs w:val="14"/>
              </w:rPr>
            </w:pPr>
            <w:r>
              <w:rPr>
                <w:color w:val="000000"/>
                <w:sz w:val="14"/>
                <w:szCs w:val="14"/>
              </w:rPr>
              <w:t>2022</w:t>
            </w:r>
          </w:p>
        </w:tc>
        <w:tc>
          <w:tcPr>
            <w:tcW w:w="1169" w:type="dxa"/>
            <w:tcBorders>
              <w:top w:val="nil"/>
              <w:left w:val="nil"/>
              <w:bottom w:val="nil"/>
              <w:right w:val="nil"/>
            </w:tcBorders>
            <w:shd w:val="clear" w:color="auto" w:fill="FFFFFF"/>
            <w:vAlign w:val="bottom"/>
          </w:tcPr>
          <w:p w14:paraId="70CA8892" w14:textId="77777777" w:rsidR="00A031A6" w:rsidRDefault="00916FD0">
            <w:pPr>
              <w:jc w:val="right"/>
              <w:rPr>
                <w:color w:val="000000"/>
                <w:sz w:val="14"/>
                <w:szCs w:val="14"/>
              </w:rPr>
            </w:pPr>
            <w:r>
              <w:rPr>
                <w:color w:val="000000"/>
                <w:sz w:val="14"/>
                <w:szCs w:val="14"/>
              </w:rPr>
              <w:t>34,392,949</w:t>
            </w:r>
          </w:p>
        </w:tc>
        <w:tc>
          <w:tcPr>
            <w:tcW w:w="1043" w:type="dxa"/>
            <w:gridSpan w:val="2"/>
            <w:tcBorders>
              <w:top w:val="nil"/>
              <w:left w:val="nil"/>
              <w:bottom w:val="nil"/>
              <w:right w:val="nil"/>
            </w:tcBorders>
            <w:shd w:val="clear" w:color="auto" w:fill="FFFFFF"/>
            <w:vAlign w:val="bottom"/>
          </w:tcPr>
          <w:p w14:paraId="24E63816" w14:textId="77777777" w:rsidR="00A031A6" w:rsidRDefault="00916FD0">
            <w:pPr>
              <w:jc w:val="right"/>
              <w:rPr>
                <w:color w:val="000000"/>
                <w:sz w:val="14"/>
                <w:szCs w:val="14"/>
              </w:rPr>
            </w:pPr>
            <w:r>
              <w:rPr>
                <w:color w:val="000000"/>
                <w:sz w:val="14"/>
                <w:szCs w:val="14"/>
              </w:rPr>
              <w:t>34,307,889</w:t>
            </w:r>
          </w:p>
        </w:tc>
        <w:tc>
          <w:tcPr>
            <w:tcW w:w="967" w:type="dxa"/>
            <w:gridSpan w:val="2"/>
            <w:tcBorders>
              <w:top w:val="nil"/>
              <w:left w:val="nil"/>
              <w:bottom w:val="nil"/>
              <w:right w:val="nil"/>
            </w:tcBorders>
            <w:shd w:val="clear" w:color="auto" w:fill="FFFFFF"/>
            <w:vAlign w:val="bottom"/>
          </w:tcPr>
          <w:p w14:paraId="2F025EF6" w14:textId="77777777" w:rsidR="00A031A6" w:rsidRDefault="00916FD0">
            <w:pPr>
              <w:jc w:val="right"/>
              <w:rPr>
                <w:color w:val="000000"/>
                <w:sz w:val="14"/>
                <w:szCs w:val="14"/>
              </w:rPr>
            </w:pPr>
            <w:r>
              <w:rPr>
                <w:color w:val="000000"/>
                <w:sz w:val="14"/>
                <w:szCs w:val="14"/>
              </w:rPr>
              <w:t>3,515,849</w:t>
            </w:r>
          </w:p>
        </w:tc>
        <w:tc>
          <w:tcPr>
            <w:tcW w:w="1510" w:type="dxa"/>
            <w:gridSpan w:val="2"/>
            <w:tcBorders>
              <w:top w:val="nil"/>
              <w:left w:val="nil"/>
              <w:bottom w:val="nil"/>
              <w:right w:val="nil"/>
            </w:tcBorders>
            <w:shd w:val="clear" w:color="auto" w:fill="FFFFFF"/>
            <w:vAlign w:val="bottom"/>
          </w:tcPr>
          <w:p w14:paraId="0901DB56" w14:textId="77777777" w:rsidR="00A031A6" w:rsidRDefault="00916FD0">
            <w:pPr>
              <w:jc w:val="right"/>
              <w:rPr>
                <w:color w:val="000000"/>
                <w:sz w:val="14"/>
                <w:szCs w:val="14"/>
              </w:rPr>
            </w:pPr>
            <w:r>
              <w:rPr>
                <w:color w:val="000000"/>
                <w:sz w:val="14"/>
                <w:szCs w:val="14"/>
              </w:rPr>
              <w:t>3,430,789</w:t>
            </w:r>
          </w:p>
        </w:tc>
        <w:tc>
          <w:tcPr>
            <w:tcW w:w="1254" w:type="dxa"/>
            <w:gridSpan w:val="2"/>
            <w:tcBorders>
              <w:top w:val="nil"/>
              <w:left w:val="nil"/>
              <w:bottom w:val="nil"/>
              <w:right w:val="nil"/>
            </w:tcBorders>
            <w:shd w:val="clear" w:color="auto" w:fill="FFFFFF"/>
            <w:vAlign w:val="bottom"/>
          </w:tcPr>
          <w:p w14:paraId="27482F29" w14:textId="77777777" w:rsidR="00A031A6" w:rsidRDefault="00916FD0">
            <w:pPr>
              <w:jc w:val="right"/>
              <w:rPr>
                <w:color w:val="000000"/>
                <w:sz w:val="14"/>
                <w:szCs w:val="14"/>
              </w:rPr>
            </w:pPr>
            <w:r>
              <w:rPr>
                <w:color w:val="000000"/>
                <w:sz w:val="14"/>
                <w:szCs w:val="14"/>
              </w:rPr>
              <w:t>0</w:t>
            </w:r>
          </w:p>
        </w:tc>
        <w:tc>
          <w:tcPr>
            <w:tcW w:w="995" w:type="dxa"/>
            <w:tcBorders>
              <w:top w:val="nil"/>
              <w:left w:val="nil"/>
              <w:bottom w:val="nil"/>
              <w:right w:val="nil"/>
            </w:tcBorders>
            <w:shd w:val="clear" w:color="auto" w:fill="FFFFFF"/>
            <w:vAlign w:val="bottom"/>
          </w:tcPr>
          <w:p w14:paraId="17460539" w14:textId="77777777" w:rsidR="00A031A6" w:rsidRDefault="00916FD0">
            <w:pPr>
              <w:jc w:val="right"/>
              <w:rPr>
                <w:color w:val="000000"/>
                <w:sz w:val="14"/>
                <w:szCs w:val="14"/>
              </w:rPr>
            </w:pPr>
            <w:r>
              <w:rPr>
                <w:color w:val="000000"/>
                <w:sz w:val="14"/>
                <w:szCs w:val="14"/>
              </w:rPr>
              <w:t>30,877,100</w:t>
            </w:r>
          </w:p>
        </w:tc>
        <w:tc>
          <w:tcPr>
            <w:tcW w:w="986" w:type="dxa"/>
            <w:gridSpan w:val="2"/>
            <w:tcBorders>
              <w:top w:val="nil"/>
              <w:left w:val="nil"/>
              <w:bottom w:val="nil"/>
              <w:right w:val="nil"/>
            </w:tcBorders>
            <w:shd w:val="clear" w:color="auto" w:fill="FFFFFF"/>
            <w:vAlign w:val="bottom"/>
          </w:tcPr>
          <w:p w14:paraId="74432090" w14:textId="77777777" w:rsidR="00A031A6" w:rsidRDefault="00916FD0">
            <w:pPr>
              <w:jc w:val="right"/>
              <w:rPr>
                <w:color w:val="000000"/>
                <w:sz w:val="14"/>
                <w:szCs w:val="14"/>
              </w:rPr>
            </w:pPr>
            <w:r>
              <w:rPr>
                <w:color w:val="000000"/>
                <w:sz w:val="14"/>
                <w:szCs w:val="14"/>
              </w:rPr>
              <w:t>90%</w:t>
            </w:r>
          </w:p>
        </w:tc>
        <w:tc>
          <w:tcPr>
            <w:tcW w:w="1214" w:type="dxa"/>
            <w:gridSpan w:val="2"/>
            <w:tcBorders>
              <w:top w:val="nil"/>
              <w:left w:val="nil"/>
              <w:bottom w:val="nil"/>
              <w:right w:val="nil"/>
            </w:tcBorders>
            <w:shd w:val="clear" w:color="auto" w:fill="FFFFFF"/>
            <w:vAlign w:val="bottom"/>
          </w:tcPr>
          <w:p w14:paraId="4E4531BE" w14:textId="77777777" w:rsidR="00A031A6" w:rsidRDefault="00916FD0">
            <w:pPr>
              <w:jc w:val="right"/>
              <w:rPr>
                <w:color w:val="000000"/>
                <w:sz w:val="14"/>
                <w:szCs w:val="14"/>
              </w:rPr>
            </w:pPr>
            <w:r>
              <w:rPr>
                <w:color w:val="000000"/>
                <w:sz w:val="14"/>
                <w:szCs w:val="14"/>
              </w:rPr>
              <w:t>3,515,849</w:t>
            </w:r>
          </w:p>
        </w:tc>
        <w:tc>
          <w:tcPr>
            <w:tcW w:w="1216" w:type="dxa"/>
            <w:gridSpan w:val="2"/>
            <w:tcBorders>
              <w:top w:val="nil"/>
              <w:left w:val="nil"/>
              <w:bottom w:val="nil"/>
              <w:right w:val="nil"/>
            </w:tcBorders>
            <w:shd w:val="clear" w:color="auto" w:fill="FFFFFF"/>
            <w:vAlign w:val="bottom"/>
          </w:tcPr>
          <w:p w14:paraId="4F92228F" w14:textId="77777777" w:rsidR="00A031A6" w:rsidRDefault="00916FD0">
            <w:pPr>
              <w:jc w:val="right"/>
              <w:rPr>
                <w:color w:val="000000"/>
                <w:sz w:val="14"/>
                <w:szCs w:val="14"/>
              </w:rPr>
            </w:pPr>
            <w:r>
              <w:rPr>
                <w:color w:val="000000"/>
                <w:sz w:val="14"/>
                <w:szCs w:val="14"/>
              </w:rPr>
              <w:t>10%</w:t>
            </w:r>
          </w:p>
        </w:tc>
        <w:tc>
          <w:tcPr>
            <w:tcW w:w="988" w:type="dxa"/>
            <w:gridSpan w:val="2"/>
            <w:tcBorders>
              <w:top w:val="nil"/>
              <w:left w:val="nil"/>
              <w:bottom w:val="nil"/>
              <w:right w:val="nil"/>
            </w:tcBorders>
            <w:shd w:val="clear" w:color="auto" w:fill="FFFFFF"/>
            <w:vAlign w:val="bottom"/>
          </w:tcPr>
          <w:p w14:paraId="3444AE4D" w14:textId="77777777"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14:paraId="49DF9E75" w14:textId="77777777" w:rsidR="00A031A6" w:rsidRDefault="00916FD0">
            <w:pPr>
              <w:jc w:val="right"/>
              <w:rPr>
                <w:color w:val="000000"/>
                <w:sz w:val="14"/>
                <w:szCs w:val="14"/>
              </w:rPr>
            </w:pPr>
            <w:r>
              <w:rPr>
                <w:color w:val="000000"/>
                <w:sz w:val="14"/>
                <w:szCs w:val="14"/>
              </w:rPr>
              <w:t>34,392,949</w:t>
            </w:r>
          </w:p>
        </w:tc>
        <w:tc>
          <w:tcPr>
            <w:tcW w:w="1070" w:type="dxa"/>
            <w:tcBorders>
              <w:top w:val="nil"/>
              <w:left w:val="nil"/>
              <w:bottom w:val="nil"/>
              <w:right w:val="nil"/>
            </w:tcBorders>
            <w:shd w:val="clear" w:color="auto" w:fill="FFFFFF"/>
            <w:vAlign w:val="bottom"/>
          </w:tcPr>
          <w:p w14:paraId="22CECA38" w14:textId="77777777" w:rsidR="00A031A6" w:rsidRDefault="00916FD0">
            <w:pPr>
              <w:jc w:val="right"/>
              <w:rPr>
                <w:color w:val="000000"/>
                <w:sz w:val="14"/>
                <w:szCs w:val="14"/>
              </w:rPr>
            </w:pPr>
            <w:r>
              <w:rPr>
                <w:color w:val="000000"/>
                <w:sz w:val="14"/>
                <w:szCs w:val="14"/>
              </w:rPr>
              <w:t>0%</w:t>
            </w:r>
          </w:p>
        </w:tc>
      </w:tr>
      <w:tr w:rsidR="00A031A6" w14:paraId="4C6EA5CC" w14:textId="77777777">
        <w:trPr>
          <w:trHeight w:val="57"/>
        </w:trPr>
        <w:tc>
          <w:tcPr>
            <w:tcW w:w="1560" w:type="dxa"/>
            <w:gridSpan w:val="2"/>
            <w:tcBorders>
              <w:top w:val="nil"/>
              <w:left w:val="nil"/>
              <w:bottom w:val="nil"/>
              <w:right w:val="nil"/>
            </w:tcBorders>
            <w:shd w:val="clear" w:color="auto" w:fill="FFFFFF"/>
            <w:vAlign w:val="bottom"/>
          </w:tcPr>
          <w:p w14:paraId="4AA1293C" w14:textId="77777777" w:rsidR="00A031A6" w:rsidRDefault="00916FD0">
            <w:pPr>
              <w:jc w:val="right"/>
              <w:rPr>
                <w:color w:val="000000"/>
                <w:sz w:val="14"/>
                <w:szCs w:val="14"/>
              </w:rPr>
            </w:pPr>
            <w:r>
              <w:rPr>
                <w:color w:val="000000"/>
                <w:sz w:val="14"/>
                <w:szCs w:val="14"/>
              </w:rPr>
              <w:t>2023</w:t>
            </w:r>
          </w:p>
        </w:tc>
        <w:tc>
          <w:tcPr>
            <w:tcW w:w="1169" w:type="dxa"/>
            <w:tcBorders>
              <w:top w:val="nil"/>
              <w:left w:val="nil"/>
              <w:bottom w:val="nil"/>
              <w:right w:val="nil"/>
            </w:tcBorders>
            <w:shd w:val="clear" w:color="auto" w:fill="FFFFFF"/>
            <w:vAlign w:val="bottom"/>
          </w:tcPr>
          <w:p w14:paraId="23B7BA8A" w14:textId="77777777" w:rsidR="00A031A6" w:rsidRDefault="00916FD0">
            <w:pPr>
              <w:jc w:val="right"/>
              <w:rPr>
                <w:color w:val="000000"/>
                <w:sz w:val="14"/>
                <w:szCs w:val="14"/>
              </w:rPr>
            </w:pPr>
            <w:r>
              <w:rPr>
                <w:color w:val="000000"/>
                <w:sz w:val="14"/>
                <w:szCs w:val="14"/>
              </w:rPr>
              <w:t>34,821,088</w:t>
            </w:r>
          </w:p>
        </w:tc>
        <w:tc>
          <w:tcPr>
            <w:tcW w:w="1043" w:type="dxa"/>
            <w:gridSpan w:val="2"/>
            <w:tcBorders>
              <w:top w:val="nil"/>
              <w:left w:val="nil"/>
              <w:bottom w:val="nil"/>
              <w:right w:val="nil"/>
            </w:tcBorders>
            <w:shd w:val="clear" w:color="auto" w:fill="FFFFFF"/>
            <w:vAlign w:val="bottom"/>
          </w:tcPr>
          <w:p w14:paraId="5A7C0E82" w14:textId="77777777" w:rsidR="00A031A6" w:rsidRDefault="00916FD0">
            <w:pPr>
              <w:jc w:val="right"/>
              <w:rPr>
                <w:color w:val="000000"/>
                <w:sz w:val="14"/>
                <w:szCs w:val="14"/>
              </w:rPr>
            </w:pPr>
            <w:r>
              <w:rPr>
                <w:color w:val="000000"/>
                <w:sz w:val="14"/>
                <w:szCs w:val="14"/>
              </w:rPr>
              <w:t>34,392,949</w:t>
            </w:r>
          </w:p>
        </w:tc>
        <w:tc>
          <w:tcPr>
            <w:tcW w:w="967" w:type="dxa"/>
            <w:gridSpan w:val="2"/>
            <w:tcBorders>
              <w:top w:val="nil"/>
              <w:left w:val="nil"/>
              <w:bottom w:val="nil"/>
              <w:right w:val="nil"/>
            </w:tcBorders>
            <w:shd w:val="clear" w:color="auto" w:fill="FFFFFF"/>
            <w:vAlign w:val="bottom"/>
          </w:tcPr>
          <w:p w14:paraId="64456AEA" w14:textId="77777777" w:rsidR="00A031A6" w:rsidRDefault="00916FD0">
            <w:pPr>
              <w:jc w:val="right"/>
              <w:rPr>
                <w:color w:val="000000"/>
                <w:sz w:val="14"/>
                <w:szCs w:val="14"/>
              </w:rPr>
            </w:pPr>
            <w:r>
              <w:rPr>
                <w:color w:val="000000"/>
                <w:sz w:val="14"/>
                <w:szCs w:val="14"/>
              </w:rPr>
              <w:t>3,867,434</w:t>
            </w:r>
          </w:p>
        </w:tc>
        <w:tc>
          <w:tcPr>
            <w:tcW w:w="1510" w:type="dxa"/>
            <w:gridSpan w:val="2"/>
            <w:tcBorders>
              <w:top w:val="nil"/>
              <w:left w:val="nil"/>
              <w:bottom w:val="nil"/>
              <w:right w:val="nil"/>
            </w:tcBorders>
            <w:shd w:val="clear" w:color="auto" w:fill="FFFFFF"/>
            <w:vAlign w:val="bottom"/>
          </w:tcPr>
          <w:p w14:paraId="56237D1B" w14:textId="77777777" w:rsidR="00A031A6" w:rsidRDefault="00916FD0">
            <w:pPr>
              <w:jc w:val="right"/>
              <w:rPr>
                <w:color w:val="000000"/>
                <w:sz w:val="14"/>
                <w:szCs w:val="14"/>
              </w:rPr>
            </w:pPr>
            <w:r>
              <w:rPr>
                <w:color w:val="000000"/>
                <w:sz w:val="14"/>
                <w:szCs w:val="14"/>
              </w:rPr>
              <w:t>3,087,710</w:t>
            </w:r>
          </w:p>
        </w:tc>
        <w:tc>
          <w:tcPr>
            <w:tcW w:w="1254" w:type="dxa"/>
            <w:gridSpan w:val="2"/>
            <w:tcBorders>
              <w:top w:val="nil"/>
              <w:left w:val="nil"/>
              <w:bottom w:val="nil"/>
              <w:right w:val="nil"/>
            </w:tcBorders>
            <w:shd w:val="clear" w:color="auto" w:fill="FFFFFF"/>
            <w:vAlign w:val="bottom"/>
          </w:tcPr>
          <w:p w14:paraId="2A835671" w14:textId="77777777" w:rsidR="00A031A6" w:rsidRDefault="00916FD0">
            <w:pPr>
              <w:jc w:val="right"/>
              <w:rPr>
                <w:color w:val="000000"/>
                <w:sz w:val="14"/>
                <w:szCs w:val="14"/>
              </w:rPr>
            </w:pPr>
            <w:r>
              <w:rPr>
                <w:color w:val="000000"/>
                <w:sz w:val="14"/>
                <w:szCs w:val="14"/>
              </w:rPr>
              <w:t>351,585</w:t>
            </w:r>
          </w:p>
        </w:tc>
        <w:tc>
          <w:tcPr>
            <w:tcW w:w="995" w:type="dxa"/>
            <w:tcBorders>
              <w:top w:val="nil"/>
              <w:left w:val="nil"/>
              <w:bottom w:val="nil"/>
              <w:right w:val="nil"/>
            </w:tcBorders>
            <w:shd w:val="clear" w:color="auto" w:fill="FFFFFF"/>
            <w:vAlign w:val="bottom"/>
          </w:tcPr>
          <w:p w14:paraId="0B97FA88" w14:textId="77777777" w:rsidR="00A031A6" w:rsidRDefault="00916FD0">
            <w:pPr>
              <w:jc w:val="right"/>
              <w:rPr>
                <w:color w:val="000000"/>
                <w:sz w:val="14"/>
                <w:szCs w:val="14"/>
              </w:rPr>
            </w:pPr>
            <w:r>
              <w:rPr>
                <w:color w:val="000000"/>
                <w:sz w:val="14"/>
                <w:szCs w:val="14"/>
              </w:rPr>
              <w:t>27,789,390</w:t>
            </w:r>
          </w:p>
        </w:tc>
        <w:tc>
          <w:tcPr>
            <w:tcW w:w="986" w:type="dxa"/>
            <w:gridSpan w:val="2"/>
            <w:tcBorders>
              <w:top w:val="nil"/>
              <w:left w:val="nil"/>
              <w:bottom w:val="nil"/>
              <w:right w:val="nil"/>
            </w:tcBorders>
            <w:shd w:val="clear" w:color="auto" w:fill="FFFFFF"/>
            <w:vAlign w:val="bottom"/>
          </w:tcPr>
          <w:p w14:paraId="6072DFD6" w14:textId="77777777" w:rsidR="00A031A6" w:rsidRDefault="00916FD0">
            <w:pPr>
              <w:jc w:val="right"/>
              <w:rPr>
                <w:color w:val="000000"/>
                <w:sz w:val="14"/>
                <w:szCs w:val="14"/>
              </w:rPr>
            </w:pPr>
            <w:r>
              <w:rPr>
                <w:color w:val="000000"/>
                <w:sz w:val="14"/>
                <w:szCs w:val="14"/>
              </w:rPr>
              <w:t>80%</w:t>
            </w:r>
          </w:p>
        </w:tc>
        <w:tc>
          <w:tcPr>
            <w:tcW w:w="1214" w:type="dxa"/>
            <w:gridSpan w:val="2"/>
            <w:tcBorders>
              <w:top w:val="nil"/>
              <w:left w:val="nil"/>
              <w:bottom w:val="nil"/>
              <w:right w:val="nil"/>
            </w:tcBorders>
            <w:shd w:val="clear" w:color="auto" w:fill="FFFFFF"/>
            <w:vAlign w:val="bottom"/>
          </w:tcPr>
          <w:p w14:paraId="320209EE" w14:textId="77777777" w:rsidR="00A031A6" w:rsidRDefault="00916FD0">
            <w:pPr>
              <w:jc w:val="right"/>
              <w:rPr>
                <w:color w:val="000000"/>
                <w:sz w:val="14"/>
                <w:szCs w:val="14"/>
              </w:rPr>
            </w:pPr>
            <w:r>
              <w:rPr>
                <w:color w:val="000000"/>
                <w:sz w:val="14"/>
                <w:szCs w:val="14"/>
              </w:rPr>
              <w:t>7,031,698</w:t>
            </w:r>
          </w:p>
        </w:tc>
        <w:tc>
          <w:tcPr>
            <w:tcW w:w="1216" w:type="dxa"/>
            <w:gridSpan w:val="2"/>
            <w:tcBorders>
              <w:top w:val="nil"/>
              <w:left w:val="nil"/>
              <w:bottom w:val="nil"/>
              <w:right w:val="nil"/>
            </w:tcBorders>
            <w:shd w:val="clear" w:color="auto" w:fill="FFFFFF"/>
            <w:vAlign w:val="bottom"/>
          </w:tcPr>
          <w:p w14:paraId="1343CC9A" w14:textId="77777777" w:rsidR="00A031A6" w:rsidRDefault="00916FD0">
            <w:pPr>
              <w:jc w:val="right"/>
              <w:rPr>
                <w:color w:val="000000"/>
                <w:sz w:val="14"/>
                <w:szCs w:val="14"/>
              </w:rPr>
            </w:pPr>
            <w:r>
              <w:rPr>
                <w:color w:val="000000"/>
                <w:sz w:val="14"/>
                <w:szCs w:val="14"/>
              </w:rPr>
              <w:t>20%</w:t>
            </w:r>
          </w:p>
        </w:tc>
        <w:tc>
          <w:tcPr>
            <w:tcW w:w="988" w:type="dxa"/>
            <w:gridSpan w:val="2"/>
            <w:tcBorders>
              <w:top w:val="nil"/>
              <w:left w:val="nil"/>
              <w:bottom w:val="nil"/>
              <w:right w:val="nil"/>
            </w:tcBorders>
            <w:shd w:val="clear" w:color="auto" w:fill="FFFFFF"/>
            <w:vAlign w:val="bottom"/>
          </w:tcPr>
          <w:p w14:paraId="2B0CDAF5" w14:textId="77777777"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14:paraId="2738A686" w14:textId="77777777" w:rsidR="00A031A6" w:rsidRDefault="00916FD0">
            <w:pPr>
              <w:jc w:val="right"/>
              <w:rPr>
                <w:color w:val="000000"/>
                <w:sz w:val="14"/>
                <w:szCs w:val="14"/>
              </w:rPr>
            </w:pPr>
            <w:r>
              <w:rPr>
                <w:color w:val="000000"/>
                <w:sz w:val="14"/>
                <w:szCs w:val="14"/>
              </w:rPr>
              <w:t>34,821,088</w:t>
            </w:r>
          </w:p>
        </w:tc>
        <w:tc>
          <w:tcPr>
            <w:tcW w:w="1070" w:type="dxa"/>
            <w:tcBorders>
              <w:top w:val="nil"/>
              <w:left w:val="nil"/>
              <w:bottom w:val="nil"/>
              <w:right w:val="nil"/>
            </w:tcBorders>
            <w:shd w:val="clear" w:color="auto" w:fill="FFFFFF"/>
            <w:vAlign w:val="bottom"/>
          </w:tcPr>
          <w:p w14:paraId="43591B07" w14:textId="77777777" w:rsidR="00A031A6" w:rsidRDefault="00916FD0">
            <w:pPr>
              <w:jc w:val="right"/>
              <w:rPr>
                <w:color w:val="000000"/>
                <w:sz w:val="14"/>
                <w:szCs w:val="14"/>
              </w:rPr>
            </w:pPr>
            <w:r>
              <w:rPr>
                <w:color w:val="000000"/>
                <w:sz w:val="14"/>
                <w:szCs w:val="14"/>
              </w:rPr>
              <w:t>0%</w:t>
            </w:r>
          </w:p>
        </w:tc>
      </w:tr>
      <w:tr w:rsidR="00A031A6" w14:paraId="545C79BC" w14:textId="77777777">
        <w:trPr>
          <w:trHeight w:val="57"/>
        </w:trPr>
        <w:tc>
          <w:tcPr>
            <w:tcW w:w="1560" w:type="dxa"/>
            <w:gridSpan w:val="2"/>
            <w:tcBorders>
              <w:top w:val="nil"/>
              <w:left w:val="nil"/>
              <w:bottom w:val="nil"/>
              <w:right w:val="nil"/>
            </w:tcBorders>
            <w:shd w:val="clear" w:color="auto" w:fill="FFFFFF"/>
            <w:vAlign w:val="bottom"/>
          </w:tcPr>
          <w:p w14:paraId="4BDB5D2C" w14:textId="77777777" w:rsidR="00A031A6" w:rsidRDefault="00916FD0">
            <w:pPr>
              <w:jc w:val="right"/>
              <w:rPr>
                <w:color w:val="000000"/>
                <w:sz w:val="14"/>
                <w:szCs w:val="14"/>
              </w:rPr>
            </w:pPr>
            <w:r>
              <w:rPr>
                <w:color w:val="000000"/>
                <w:sz w:val="14"/>
                <w:szCs w:val="14"/>
              </w:rPr>
              <w:t>2024</w:t>
            </w:r>
          </w:p>
        </w:tc>
        <w:tc>
          <w:tcPr>
            <w:tcW w:w="1169" w:type="dxa"/>
            <w:tcBorders>
              <w:top w:val="nil"/>
              <w:left w:val="nil"/>
              <w:bottom w:val="nil"/>
              <w:right w:val="nil"/>
            </w:tcBorders>
            <w:shd w:val="clear" w:color="auto" w:fill="FFFFFF"/>
            <w:vAlign w:val="bottom"/>
          </w:tcPr>
          <w:p w14:paraId="39924790" w14:textId="77777777" w:rsidR="00A031A6" w:rsidRDefault="00916FD0">
            <w:pPr>
              <w:jc w:val="right"/>
              <w:rPr>
                <w:color w:val="000000"/>
                <w:sz w:val="14"/>
                <w:szCs w:val="14"/>
              </w:rPr>
            </w:pPr>
            <w:r>
              <w:rPr>
                <w:color w:val="000000"/>
                <w:sz w:val="14"/>
                <w:szCs w:val="14"/>
              </w:rPr>
              <w:t>35,593,157</w:t>
            </w:r>
          </w:p>
        </w:tc>
        <w:tc>
          <w:tcPr>
            <w:tcW w:w="1043" w:type="dxa"/>
            <w:gridSpan w:val="2"/>
            <w:tcBorders>
              <w:top w:val="nil"/>
              <w:left w:val="nil"/>
              <w:bottom w:val="nil"/>
              <w:right w:val="nil"/>
            </w:tcBorders>
            <w:shd w:val="clear" w:color="auto" w:fill="FFFFFF"/>
            <w:vAlign w:val="bottom"/>
          </w:tcPr>
          <w:p w14:paraId="3BD02C57" w14:textId="77777777" w:rsidR="00A031A6" w:rsidRDefault="00916FD0">
            <w:pPr>
              <w:jc w:val="right"/>
              <w:rPr>
                <w:color w:val="000000"/>
                <w:sz w:val="14"/>
                <w:szCs w:val="14"/>
              </w:rPr>
            </w:pPr>
            <w:r>
              <w:rPr>
                <w:color w:val="000000"/>
                <w:sz w:val="14"/>
                <w:szCs w:val="14"/>
              </w:rPr>
              <w:t>34,821,088</w:t>
            </w:r>
          </w:p>
        </w:tc>
        <w:tc>
          <w:tcPr>
            <w:tcW w:w="967" w:type="dxa"/>
            <w:gridSpan w:val="2"/>
            <w:tcBorders>
              <w:top w:val="nil"/>
              <w:left w:val="nil"/>
              <w:bottom w:val="nil"/>
              <w:right w:val="nil"/>
            </w:tcBorders>
            <w:shd w:val="clear" w:color="auto" w:fill="FFFFFF"/>
            <w:vAlign w:val="bottom"/>
          </w:tcPr>
          <w:p w14:paraId="3C41D4F5" w14:textId="77777777" w:rsidR="00A031A6" w:rsidRDefault="00916FD0">
            <w:pPr>
              <w:jc w:val="right"/>
              <w:rPr>
                <w:color w:val="000000"/>
                <w:sz w:val="14"/>
                <w:szCs w:val="14"/>
              </w:rPr>
            </w:pPr>
            <w:r>
              <w:rPr>
                <w:color w:val="000000"/>
                <w:sz w:val="14"/>
                <w:szCs w:val="14"/>
              </w:rPr>
              <w:t>4,254,177</w:t>
            </w:r>
          </w:p>
        </w:tc>
        <w:tc>
          <w:tcPr>
            <w:tcW w:w="1510" w:type="dxa"/>
            <w:gridSpan w:val="2"/>
            <w:tcBorders>
              <w:top w:val="nil"/>
              <w:left w:val="nil"/>
              <w:bottom w:val="nil"/>
              <w:right w:val="nil"/>
            </w:tcBorders>
            <w:shd w:val="clear" w:color="auto" w:fill="FFFFFF"/>
            <w:vAlign w:val="bottom"/>
          </w:tcPr>
          <w:p w14:paraId="44937C31" w14:textId="77777777" w:rsidR="00A031A6" w:rsidRDefault="00916FD0">
            <w:pPr>
              <w:jc w:val="right"/>
              <w:rPr>
                <w:color w:val="000000"/>
                <w:sz w:val="14"/>
                <w:szCs w:val="14"/>
              </w:rPr>
            </w:pPr>
            <w:r>
              <w:rPr>
                <w:color w:val="000000"/>
                <w:sz w:val="14"/>
                <w:szCs w:val="14"/>
              </w:rPr>
              <w:t>2,778,939</w:t>
            </w:r>
          </w:p>
        </w:tc>
        <w:tc>
          <w:tcPr>
            <w:tcW w:w="1254" w:type="dxa"/>
            <w:gridSpan w:val="2"/>
            <w:tcBorders>
              <w:top w:val="nil"/>
              <w:left w:val="nil"/>
              <w:bottom w:val="nil"/>
              <w:right w:val="nil"/>
            </w:tcBorders>
            <w:shd w:val="clear" w:color="auto" w:fill="FFFFFF"/>
            <w:vAlign w:val="bottom"/>
          </w:tcPr>
          <w:p w14:paraId="69103EB0" w14:textId="77777777" w:rsidR="00A031A6" w:rsidRDefault="00916FD0">
            <w:pPr>
              <w:jc w:val="right"/>
              <w:rPr>
                <w:color w:val="000000"/>
                <w:sz w:val="14"/>
                <w:szCs w:val="14"/>
              </w:rPr>
            </w:pPr>
            <w:r>
              <w:rPr>
                <w:color w:val="000000"/>
                <w:sz w:val="14"/>
                <w:szCs w:val="14"/>
              </w:rPr>
              <w:t>703,170</w:t>
            </w:r>
          </w:p>
        </w:tc>
        <w:tc>
          <w:tcPr>
            <w:tcW w:w="995" w:type="dxa"/>
            <w:tcBorders>
              <w:top w:val="nil"/>
              <w:left w:val="nil"/>
              <w:bottom w:val="nil"/>
              <w:right w:val="nil"/>
            </w:tcBorders>
            <w:shd w:val="clear" w:color="auto" w:fill="FFFFFF"/>
            <w:vAlign w:val="bottom"/>
          </w:tcPr>
          <w:p w14:paraId="2F41CC71" w14:textId="77777777" w:rsidR="00A031A6" w:rsidRDefault="00916FD0">
            <w:pPr>
              <w:jc w:val="right"/>
              <w:rPr>
                <w:color w:val="000000"/>
                <w:sz w:val="14"/>
                <w:szCs w:val="14"/>
              </w:rPr>
            </w:pPr>
            <w:r>
              <w:rPr>
                <w:color w:val="000000"/>
                <w:sz w:val="14"/>
                <w:szCs w:val="14"/>
              </w:rPr>
              <w:t>25,010,451</w:t>
            </w:r>
          </w:p>
        </w:tc>
        <w:tc>
          <w:tcPr>
            <w:tcW w:w="986" w:type="dxa"/>
            <w:gridSpan w:val="2"/>
            <w:tcBorders>
              <w:top w:val="nil"/>
              <w:left w:val="nil"/>
              <w:bottom w:val="nil"/>
              <w:right w:val="nil"/>
            </w:tcBorders>
            <w:shd w:val="clear" w:color="auto" w:fill="FFFFFF"/>
            <w:vAlign w:val="bottom"/>
          </w:tcPr>
          <w:p w14:paraId="0A4CD11D" w14:textId="77777777" w:rsidR="00A031A6" w:rsidRDefault="00916FD0">
            <w:pPr>
              <w:jc w:val="right"/>
              <w:rPr>
                <w:color w:val="000000"/>
                <w:sz w:val="14"/>
                <w:szCs w:val="14"/>
              </w:rPr>
            </w:pPr>
            <w:r>
              <w:rPr>
                <w:color w:val="000000"/>
                <w:sz w:val="14"/>
                <w:szCs w:val="14"/>
              </w:rPr>
              <w:t>70%</w:t>
            </w:r>
          </w:p>
        </w:tc>
        <w:tc>
          <w:tcPr>
            <w:tcW w:w="1214" w:type="dxa"/>
            <w:gridSpan w:val="2"/>
            <w:tcBorders>
              <w:top w:val="nil"/>
              <w:left w:val="nil"/>
              <w:bottom w:val="nil"/>
              <w:right w:val="nil"/>
            </w:tcBorders>
            <w:shd w:val="clear" w:color="auto" w:fill="FFFFFF"/>
            <w:vAlign w:val="bottom"/>
          </w:tcPr>
          <w:p w14:paraId="3FFEF2A4" w14:textId="77777777" w:rsidR="00A031A6" w:rsidRDefault="00916FD0">
            <w:pPr>
              <w:jc w:val="right"/>
              <w:rPr>
                <w:color w:val="000000"/>
                <w:sz w:val="14"/>
                <w:szCs w:val="14"/>
              </w:rPr>
            </w:pPr>
            <w:r>
              <w:rPr>
                <w:color w:val="000000"/>
                <w:sz w:val="14"/>
                <w:szCs w:val="14"/>
              </w:rPr>
              <w:t>10,582,706</w:t>
            </w:r>
          </w:p>
        </w:tc>
        <w:tc>
          <w:tcPr>
            <w:tcW w:w="1216" w:type="dxa"/>
            <w:gridSpan w:val="2"/>
            <w:tcBorders>
              <w:top w:val="nil"/>
              <w:left w:val="nil"/>
              <w:bottom w:val="nil"/>
              <w:right w:val="nil"/>
            </w:tcBorders>
            <w:shd w:val="clear" w:color="auto" w:fill="FFFFFF"/>
            <w:vAlign w:val="bottom"/>
          </w:tcPr>
          <w:p w14:paraId="32AF64C1" w14:textId="77777777" w:rsidR="00A031A6" w:rsidRDefault="00916FD0">
            <w:pPr>
              <w:jc w:val="right"/>
              <w:rPr>
                <w:color w:val="000000"/>
                <w:sz w:val="14"/>
                <w:szCs w:val="14"/>
              </w:rPr>
            </w:pPr>
            <w:r>
              <w:rPr>
                <w:color w:val="000000"/>
                <w:sz w:val="14"/>
                <w:szCs w:val="14"/>
              </w:rPr>
              <w:t>30%</w:t>
            </w:r>
          </w:p>
        </w:tc>
        <w:tc>
          <w:tcPr>
            <w:tcW w:w="988" w:type="dxa"/>
            <w:gridSpan w:val="2"/>
            <w:tcBorders>
              <w:top w:val="nil"/>
              <w:left w:val="nil"/>
              <w:bottom w:val="nil"/>
              <w:right w:val="nil"/>
            </w:tcBorders>
            <w:shd w:val="clear" w:color="auto" w:fill="FFFFFF"/>
            <w:vAlign w:val="bottom"/>
          </w:tcPr>
          <w:p w14:paraId="0DB91E87" w14:textId="77777777" w:rsidR="00A031A6" w:rsidRDefault="00916FD0">
            <w:pPr>
              <w:jc w:val="right"/>
              <w:rPr>
                <w:color w:val="000000"/>
                <w:sz w:val="14"/>
                <w:szCs w:val="14"/>
              </w:rPr>
            </w:pPr>
            <w:r>
              <w:rPr>
                <w:color w:val="000000"/>
                <w:sz w:val="14"/>
                <w:szCs w:val="14"/>
              </w:rPr>
              <w:t>49%</w:t>
            </w:r>
          </w:p>
        </w:tc>
        <w:tc>
          <w:tcPr>
            <w:tcW w:w="1426" w:type="dxa"/>
            <w:gridSpan w:val="2"/>
            <w:tcBorders>
              <w:top w:val="nil"/>
              <w:left w:val="nil"/>
              <w:bottom w:val="nil"/>
              <w:right w:val="nil"/>
            </w:tcBorders>
            <w:shd w:val="clear" w:color="auto" w:fill="FFFFFF"/>
            <w:vAlign w:val="bottom"/>
          </w:tcPr>
          <w:p w14:paraId="11D4CF6D" w14:textId="77777777" w:rsidR="00A031A6" w:rsidRDefault="00916FD0">
            <w:pPr>
              <w:jc w:val="right"/>
              <w:rPr>
                <w:color w:val="000000"/>
                <w:sz w:val="14"/>
                <w:szCs w:val="14"/>
              </w:rPr>
            </w:pPr>
            <w:r>
              <w:rPr>
                <w:color w:val="000000"/>
                <w:sz w:val="14"/>
                <w:szCs w:val="14"/>
              </w:rPr>
              <w:t>35,593,157</w:t>
            </w:r>
          </w:p>
        </w:tc>
        <w:tc>
          <w:tcPr>
            <w:tcW w:w="1070" w:type="dxa"/>
            <w:tcBorders>
              <w:top w:val="nil"/>
              <w:left w:val="nil"/>
              <w:bottom w:val="nil"/>
              <w:right w:val="nil"/>
            </w:tcBorders>
            <w:shd w:val="clear" w:color="auto" w:fill="FFFFFF"/>
            <w:vAlign w:val="bottom"/>
          </w:tcPr>
          <w:p w14:paraId="2C264CC9" w14:textId="77777777" w:rsidR="00A031A6" w:rsidRDefault="00916FD0">
            <w:pPr>
              <w:jc w:val="right"/>
              <w:rPr>
                <w:color w:val="000000"/>
                <w:sz w:val="14"/>
                <w:szCs w:val="14"/>
              </w:rPr>
            </w:pPr>
            <w:r>
              <w:rPr>
                <w:color w:val="000000"/>
                <w:sz w:val="14"/>
                <w:szCs w:val="14"/>
              </w:rPr>
              <w:t>0%</w:t>
            </w:r>
          </w:p>
        </w:tc>
      </w:tr>
      <w:tr w:rsidR="00A031A6" w14:paraId="3018C544" w14:textId="77777777">
        <w:trPr>
          <w:trHeight w:val="57"/>
        </w:trPr>
        <w:tc>
          <w:tcPr>
            <w:tcW w:w="1560" w:type="dxa"/>
            <w:gridSpan w:val="2"/>
            <w:tcBorders>
              <w:top w:val="nil"/>
              <w:left w:val="nil"/>
              <w:bottom w:val="nil"/>
              <w:right w:val="nil"/>
            </w:tcBorders>
            <w:shd w:val="clear" w:color="auto" w:fill="FFFFFF"/>
            <w:vAlign w:val="bottom"/>
          </w:tcPr>
          <w:p w14:paraId="7AB6FC68" w14:textId="77777777" w:rsidR="00A031A6" w:rsidRDefault="00916FD0">
            <w:pPr>
              <w:jc w:val="right"/>
              <w:rPr>
                <w:color w:val="000000"/>
                <w:sz w:val="14"/>
                <w:szCs w:val="14"/>
              </w:rPr>
            </w:pPr>
            <w:r>
              <w:rPr>
                <w:color w:val="000000"/>
                <w:sz w:val="14"/>
                <w:szCs w:val="14"/>
              </w:rPr>
              <w:t>2025</w:t>
            </w:r>
          </w:p>
        </w:tc>
        <w:tc>
          <w:tcPr>
            <w:tcW w:w="1169" w:type="dxa"/>
            <w:tcBorders>
              <w:top w:val="nil"/>
              <w:left w:val="nil"/>
              <w:bottom w:val="nil"/>
              <w:right w:val="nil"/>
            </w:tcBorders>
            <w:shd w:val="clear" w:color="auto" w:fill="FFFFFF"/>
            <w:vAlign w:val="bottom"/>
          </w:tcPr>
          <w:p w14:paraId="58FE1D30" w14:textId="77777777" w:rsidR="00A031A6" w:rsidRDefault="00916FD0">
            <w:pPr>
              <w:jc w:val="right"/>
              <w:rPr>
                <w:color w:val="000000"/>
                <w:sz w:val="14"/>
                <w:szCs w:val="14"/>
              </w:rPr>
            </w:pPr>
            <w:r>
              <w:rPr>
                <w:color w:val="000000"/>
                <w:sz w:val="14"/>
                <w:szCs w:val="14"/>
              </w:rPr>
              <w:t>36,713,436</w:t>
            </w:r>
          </w:p>
        </w:tc>
        <w:tc>
          <w:tcPr>
            <w:tcW w:w="1043" w:type="dxa"/>
            <w:gridSpan w:val="2"/>
            <w:tcBorders>
              <w:top w:val="nil"/>
              <w:left w:val="nil"/>
              <w:bottom w:val="nil"/>
              <w:right w:val="nil"/>
            </w:tcBorders>
            <w:shd w:val="clear" w:color="auto" w:fill="FFFFFF"/>
            <w:vAlign w:val="bottom"/>
          </w:tcPr>
          <w:p w14:paraId="27B29A93" w14:textId="77777777" w:rsidR="00A031A6" w:rsidRDefault="00916FD0">
            <w:pPr>
              <w:jc w:val="right"/>
              <w:rPr>
                <w:color w:val="000000"/>
                <w:sz w:val="14"/>
                <w:szCs w:val="14"/>
              </w:rPr>
            </w:pPr>
            <w:r>
              <w:rPr>
                <w:color w:val="000000"/>
                <w:sz w:val="14"/>
                <w:szCs w:val="14"/>
              </w:rPr>
              <w:t>35,593,157</w:t>
            </w:r>
          </w:p>
        </w:tc>
        <w:tc>
          <w:tcPr>
            <w:tcW w:w="967" w:type="dxa"/>
            <w:gridSpan w:val="2"/>
            <w:tcBorders>
              <w:top w:val="nil"/>
              <w:left w:val="nil"/>
              <w:bottom w:val="nil"/>
              <w:right w:val="nil"/>
            </w:tcBorders>
            <w:shd w:val="clear" w:color="auto" w:fill="FFFFFF"/>
            <w:vAlign w:val="bottom"/>
          </w:tcPr>
          <w:p w14:paraId="09E0AE9B" w14:textId="77777777" w:rsidR="00A031A6" w:rsidRDefault="00916FD0">
            <w:pPr>
              <w:jc w:val="right"/>
              <w:rPr>
                <w:color w:val="000000"/>
                <w:sz w:val="14"/>
                <w:szCs w:val="14"/>
              </w:rPr>
            </w:pPr>
            <w:r>
              <w:rPr>
                <w:color w:val="000000"/>
                <w:sz w:val="14"/>
                <w:szCs w:val="14"/>
              </w:rPr>
              <w:t>4,679,595</w:t>
            </w:r>
          </w:p>
        </w:tc>
        <w:tc>
          <w:tcPr>
            <w:tcW w:w="1510" w:type="dxa"/>
            <w:gridSpan w:val="2"/>
            <w:tcBorders>
              <w:top w:val="nil"/>
              <w:left w:val="nil"/>
              <w:bottom w:val="nil"/>
              <w:right w:val="nil"/>
            </w:tcBorders>
            <w:shd w:val="clear" w:color="auto" w:fill="FFFFFF"/>
            <w:vAlign w:val="bottom"/>
          </w:tcPr>
          <w:p w14:paraId="0B972270" w14:textId="77777777" w:rsidR="00A031A6" w:rsidRDefault="00916FD0">
            <w:pPr>
              <w:jc w:val="right"/>
              <w:rPr>
                <w:color w:val="000000"/>
                <w:sz w:val="14"/>
                <w:szCs w:val="14"/>
              </w:rPr>
            </w:pPr>
            <w:r>
              <w:rPr>
                <w:color w:val="000000"/>
                <w:sz w:val="14"/>
                <w:szCs w:val="14"/>
              </w:rPr>
              <w:t>2,501,045</w:t>
            </w:r>
          </w:p>
        </w:tc>
        <w:tc>
          <w:tcPr>
            <w:tcW w:w="1254" w:type="dxa"/>
            <w:gridSpan w:val="2"/>
            <w:tcBorders>
              <w:top w:val="nil"/>
              <w:left w:val="nil"/>
              <w:bottom w:val="nil"/>
              <w:right w:val="nil"/>
            </w:tcBorders>
            <w:shd w:val="clear" w:color="auto" w:fill="FFFFFF"/>
            <w:vAlign w:val="bottom"/>
          </w:tcPr>
          <w:p w14:paraId="4010EA05" w14:textId="77777777" w:rsidR="00A031A6" w:rsidRDefault="00916FD0">
            <w:pPr>
              <w:jc w:val="right"/>
              <w:rPr>
                <w:color w:val="000000"/>
                <w:sz w:val="14"/>
                <w:szCs w:val="14"/>
              </w:rPr>
            </w:pPr>
            <w:r>
              <w:rPr>
                <w:color w:val="000000"/>
                <w:sz w:val="14"/>
                <w:szCs w:val="14"/>
              </w:rPr>
              <w:t>1,058,271</w:t>
            </w:r>
          </w:p>
        </w:tc>
        <w:tc>
          <w:tcPr>
            <w:tcW w:w="995" w:type="dxa"/>
            <w:tcBorders>
              <w:top w:val="nil"/>
              <w:left w:val="nil"/>
              <w:bottom w:val="nil"/>
              <w:right w:val="nil"/>
            </w:tcBorders>
            <w:shd w:val="clear" w:color="auto" w:fill="FFFFFF"/>
            <w:vAlign w:val="bottom"/>
          </w:tcPr>
          <w:p w14:paraId="63EE98A8" w14:textId="77777777" w:rsidR="00A031A6" w:rsidRDefault="00916FD0">
            <w:pPr>
              <w:jc w:val="right"/>
              <w:rPr>
                <w:color w:val="000000"/>
                <w:sz w:val="14"/>
                <w:szCs w:val="14"/>
              </w:rPr>
            </w:pPr>
            <w:r>
              <w:rPr>
                <w:color w:val="000000"/>
                <w:sz w:val="14"/>
                <w:szCs w:val="14"/>
              </w:rPr>
              <w:t>22,509,406</w:t>
            </w:r>
          </w:p>
        </w:tc>
        <w:tc>
          <w:tcPr>
            <w:tcW w:w="986" w:type="dxa"/>
            <w:gridSpan w:val="2"/>
            <w:tcBorders>
              <w:top w:val="nil"/>
              <w:left w:val="nil"/>
              <w:bottom w:val="nil"/>
              <w:right w:val="nil"/>
            </w:tcBorders>
            <w:shd w:val="clear" w:color="auto" w:fill="FFFFFF"/>
            <w:vAlign w:val="bottom"/>
          </w:tcPr>
          <w:p w14:paraId="536352E0" w14:textId="77777777" w:rsidR="00A031A6" w:rsidRDefault="00916FD0">
            <w:pPr>
              <w:jc w:val="right"/>
              <w:rPr>
                <w:color w:val="000000"/>
                <w:sz w:val="14"/>
                <w:szCs w:val="14"/>
              </w:rPr>
            </w:pPr>
            <w:r>
              <w:rPr>
                <w:color w:val="000000"/>
                <w:sz w:val="14"/>
                <w:szCs w:val="14"/>
              </w:rPr>
              <w:t>61%</w:t>
            </w:r>
          </w:p>
        </w:tc>
        <w:tc>
          <w:tcPr>
            <w:tcW w:w="1214" w:type="dxa"/>
            <w:gridSpan w:val="2"/>
            <w:tcBorders>
              <w:top w:val="nil"/>
              <w:left w:val="nil"/>
              <w:bottom w:val="nil"/>
              <w:right w:val="nil"/>
            </w:tcBorders>
            <w:shd w:val="clear" w:color="auto" w:fill="FFFFFF"/>
            <w:vAlign w:val="bottom"/>
          </w:tcPr>
          <w:p w14:paraId="246F4028" w14:textId="77777777" w:rsidR="00A031A6" w:rsidRDefault="00916FD0">
            <w:pPr>
              <w:jc w:val="right"/>
              <w:rPr>
                <w:color w:val="000000"/>
                <w:sz w:val="14"/>
                <w:szCs w:val="14"/>
              </w:rPr>
            </w:pPr>
            <w:r>
              <w:rPr>
                <w:color w:val="000000"/>
                <w:sz w:val="14"/>
                <w:szCs w:val="14"/>
              </w:rPr>
              <w:t>14,204,030</w:t>
            </w:r>
          </w:p>
        </w:tc>
        <w:tc>
          <w:tcPr>
            <w:tcW w:w="1216" w:type="dxa"/>
            <w:gridSpan w:val="2"/>
            <w:tcBorders>
              <w:top w:val="nil"/>
              <w:left w:val="nil"/>
              <w:bottom w:val="nil"/>
              <w:right w:val="nil"/>
            </w:tcBorders>
            <w:shd w:val="clear" w:color="auto" w:fill="FFFFFF"/>
            <w:vAlign w:val="bottom"/>
          </w:tcPr>
          <w:p w14:paraId="5AFCFDC5" w14:textId="77777777" w:rsidR="00A031A6" w:rsidRDefault="00916FD0">
            <w:pPr>
              <w:jc w:val="right"/>
              <w:rPr>
                <w:color w:val="000000"/>
                <w:sz w:val="14"/>
                <w:szCs w:val="14"/>
              </w:rPr>
            </w:pPr>
            <w:r>
              <w:rPr>
                <w:color w:val="000000"/>
                <w:sz w:val="14"/>
                <w:szCs w:val="14"/>
              </w:rPr>
              <w:t>39%</w:t>
            </w:r>
          </w:p>
        </w:tc>
        <w:tc>
          <w:tcPr>
            <w:tcW w:w="988" w:type="dxa"/>
            <w:gridSpan w:val="2"/>
            <w:tcBorders>
              <w:top w:val="nil"/>
              <w:left w:val="nil"/>
              <w:bottom w:val="nil"/>
              <w:right w:val="nil"/>
            </w:tcBorders>
            <w:shd w:val="clear" w:color="auto" w:fill="FFFFFF"/>
            <w:vAlign w:val="bottom"/>
          </w:tcPr>
          <w:p w14:paraId="36A05418" w14:textId="77777777" w:rsidR="00A031A6" w:rsidRDefault="00916FD0">
            <w:pPr>
              <w:jc w:val="right"/>
              <w:rPr>
                <w:color w:val="000000"/>
                <w:sz w:val="14"/>
                <w:szCs w:val="14"/>
              </w:rPr>
            </w:pPr>
            <w:r>
              <w:rPr>
                <w:color w:val="000000"/>
                <w:sz w:val="14"/>
                <w:szCs w:val="14"/>
              </w:rPr>
              <w:t>50%</w:t>
            </w:r>
          </w:p>
        </w:tc>
        <w:tc>
          <w:tcPr>
            <w:tcW w:w="1426" w:type="dxa"/>
            <w:gridSpan w:val="2"/>
            <w:tcBorders>
              <w:top w:val="nil"/>
              <w:left w:val="nil"/>
              <w:bottom w:val="nil"/>
              <w:right w:val="nil"/>
            </w:tcBorders>
            <w:shd w:val="clear" w:color="auto" w:fill="FFFFFF"/>
            <w:vAlign w:val="bottom"/>
          </w:tcPr>
          <w:p w14:paraId="3FC6FB47" w14:textId="77777777" w:rsidR="00A031A6" w:rsidRDefault="00916FD0">
            <w:pPr>
              <w:jc w:val="right"/>
              <w:rPr>
                <w:color w:val="000000"/>
                <w:sz w:val="14"/>
                <w:szCs w:val="14"/>
              </w:rPr>
            </w:pPr>
            <w:r>
              <w:rPr>
                <w:color w:val="000000"/>
                <w:sz w:val="14"/>
                <w:szCs w:val="14"/>
              </w:rPr>
              <w:t>36,713,436</w:t>
            </w:r>
          </w:p>
        </w:tc>
        <w:tc>
          <w:tcPr>
            <w:tcW w:w="1070" w:type="dxa"/>
            <w:tcBorders>
              <w:top w:val="nil"/>
              <w:left w:val="nil"/>
              <w:bottom w:val="nil"/>
              <w:right w:val="nil"/>
            </w:tcBorders>
            <w:shd w:val="clear" w:color="auto" w:fill="FFFFFF"/>
            <w:vAlign w:val="bottom"/>
          </w:tcPr>
          <w:p w14:paraId="4FA2B579" w14:textId="77777777" w:rsidR="00A031A6" w:rsidRDefault="00916FD0">
            <w:pPr>
              <w:jc w:val="right"/>
              <w:rPr>
                <w:color w:val="000000"/>
                <w:sz w:val="14"/>
                <w:szCs w:val="14"/>
              </w:rPr>
            </w:pPr>
            <w:r>
              <w:rPr>
                <w:color w:val="000000"/>
                <w:sz w:val="14"/>
                <w:szCs w:val="14"/>
              </w:rPr>
              <w:t>0%</w:t>
            </w:r>
          </w:p>
        </w:tc>
      </w:tr>
      <w:tr w:rsidR="00A031A6" w14:paraId="38E00059" w14:textId="77777777">
        <w:trPr>
          <w:trHeight w:val="57"/>
        </w:trPr>
        <w:tc>
          <w:tcPr>
            <w:tcW w:w="1560" w:type="dxa"/>
            <w:gridSpan w:val="2"/>
            <w:tcBorders>
              <w:top w:val="nil"/>
              <w:left w:val="nil"/>
              <w:bottom w:val="nil"/>
              <w:right w:val="nil"/>
            </w:tcBorders>
            <w:shd w:val="clear" w:color="auto" w:fill="FFFFFF"/>
            <w:vAlign w:val="bottom"/>
          </w:tcPr>
          <w:p w14:paraId="4154812B" w14:textId="77777777" w:rsidR="00A031A6" w:rsidRDefault="00916FD0">
            <w:pPr>
              <w:jc w:val="right"/>
              <w:rPr>
                <w:color w:val="000000"/>
                <w:sz w:val="14"/>
                <w:szCs w:val="14"/>
              </w:rPr>
            </w:pPr>
            <w:r>
              <w:rPr>
                <w:color w:val="000000"/>
                <w:sz w:val="14"/>
                <w:szCs w:val="14"/>
              </w:rPr>
              <w:lastRenderedPageBreak/>
              <w:t>2026</w:t>
            </w:r>
          </w:p>
        </w:tc>
        <w:tc>
          <w:tcPr>
            <w:tcW w:w="1169" w:type="dxa"/>
            <w:tcBorders>
              <w:top w:val="nil"/>
              <w:left w:val="nil"/>
              <w:bottom w:val="nil"/>
              <w:right w:val="nil"/>
            </w:tcBorders>
            <w:shd w:val="clear" w:color="auto" w:fill="FFFFFF"/>
            <w:vAlign w:val="bottom"/>
          </w:tcPr>
          <w:p w14:paraId="61EC22B0" w14:textId="77777777" w:rsidR="00A031A6" w:rsidRDefault="00916FD0">
            <w:pPr>
              <w:jc w:val="right"/>
              <w:rPr>
                <w:color w:val="000000"/>
                <w:sz w:val="14"/>
                <w:szCs w:val="14"/>
              </w:rPr>
            </w:pPr>
            <w:r>
              <w:rPr>
                <w:color w:val="000000"/>
                <w:sz w:val="14"/>
                <w:szCs w:val="14"/>
              </w:rPr>
              <w:t>38,189,647</w:t>
            </w:r>
          </w:p>
        </w:tc>
        <w:tc>
          <w:tcPr>
            <w:tcW w:w="1043" w:type="dxa"/>
            <w:gridSpan w:val="2"/>
            <w:tcBorders>
              <w:top w:val="nil"/>
              <w:left w:val="nil"/>
              <w:bottom w:val="nil"/>
              <w:right w:val="nil"/>
            </w:tcBorders>
            <w:shd w:val="clear" w:color="auto" w:fill="FFFFFF"/>
            <w:vAlign w:val="bottom"/>
          </w:tcPr>
          <w:p w14:paraId="3AFBB27F" w14:textId="77777777" w:rsidR="00A031A6" w:rsidRDefault="00916FD0">
            <w:pPr>
              <w:jc w:val="right"/>
              <w:rPr>
                <w:color w:val="000000"/>
                <w:sz w:val="14"/>
                <w:szCs w:val="14"/>
              </w:rPr>
            </w:pPr>
            <w:r>
              <w:rPr>
                <w:color w:val="000000"/>
                <w:sz w:val="14"/>
                <w:szCs w:val="14"/>
              </w:rPr>
              <w:t>36,713,436</w:t>
            </w:r>
          </w:p>
        </w:tc>
        <w:tc>
          <w:tcPr>
            <w:tcW w:w="967" w:type="dxa"/>
            <w:gridSpan w:val="2"/>
            <w:tcBorders>
              <w:top w:val="nil"/>
              <w:left w:val="nil"/>
              <w:bottom w:val="nil"/>
              <w:right w:val="nil"/>
            </w:tcBorders>
            <w:shd w:val="clear" w:color="auto" w:fill="FFFFFF"/>
            <w:vAlign w:val="bottom"/>
          </w:tcPr>
          <w:p w14:paraId="64FB95F0" w14:textId="77777777" w:rsidR="00A031A6" w:rsidRDefault="00916FD0">
            <w:pPr>
              <w:jc w:val="right"/>
              <w:rPr>
                <w:color w:val="000000"/>
                <w:sz w:val="14"/>
                <w:szCs w:val="14"/>
              </w:rPr>
            </w:pPr>
            <w:r>
              <w:rPr>
                <w:color w:val="000000"/>
                <w:sz w:val="14"/>
                <w:szCs w:val="14"/>
              </w:rPr>
              <w:t>5,147,555</w:t>
            </w:r>
          </w:p>
        </w:tc>
        <w:tc>
          <w:tcPr>
            <w:tcW w:w="1510" w:type="dxa"/>
            <w:gridSpan w:val="2"/>
            <w:tcBorders>
              <w:top w:val="nil"/>
              <w:left w:val="nil"/>
              <w:bottom w:val="nil"/>
              <w:right w:val="nil"/>
            </w:tcBorders>
            <w:shd w:val="clear" w:color="auto" w:fill="FFFFFF"/>
            <w:vAlign w:val="bottom"/>
          </w:tcPr>
          <w:p w14:paraId="22B4164B" w14:textId="77777777" w:rsidR="00A031A6" w:rsidRDefault="00916FD0">
            <w:pPr>
              <w:jc w:val="right"/>
              <w:rPr>
                <w:color w:val="000000"/>
                <w:sz w:val="14"/>
                <w:szCs w:val="14"/>
              </w:rPr>
            </w:pPr>
            <w:r>
              <w:rPr>
                <w:color w:val="000000"/>
                <w:sz w:val="14"/>
                <w:szCs w:val="14"/>
              </w:rPr>
              <w:t>2,250,941</w:t>
            </w:r>
          </w:p>
        </w:tc>
        <w:tc>
          <w:tcPr>
            <w:tcW w:w="1254" w:type="dxa"/>
            <w:gridSpan w:val="2"/>
            <w:tcBorders>
              <w:top w:val="nil"/>
              <w:left w:val="nil"/>
              <w:bottom w:val="nil"/>
              <w:right w:val="nil"/>
            </w:tcBorders>
            <w:shd w:val="clear" w:color="auto" w:fill="FFFFFF"/>
            <w:vAlign w:val="bottom"/>
          </w:tcPr>
          <w:p w14:paraId="71C8099E" w14:textId="77777777" w:rsidR="00A031A6" w:rsidRDefault="00916FD0">
            <w:pPr>
              <w:jc w:val="right"/>
              <w:rPr>
                <w:color w:val="000000"/>
                <w:sz w:val="14"/>
                <w:szCs w:val="14"/>
              </w:rPr>
            </w:pPr>
            <w:r>
              <w:rPr>
                <w:color w:val="000000"/>
                <w:sz w:val="14"/>
                <w:szCs w:val="14"/>
              </w:rPr>
              <w:t>1,420,403</w:t>
            </w:r>
          </w:p>
        </w:tc>
        <w:tc>
          <w:tcPr>
            <w:tcW w:w="995" w:type="dxa"/>
            <w:tcBorders>
              <w:top w:val="nil"/>
              <w:left w:val="nil"/>
              <w:bottom w:val="nil"/>
              <w:right w:val="nil"/>
            </w:tcBorders>
            <w:shd w:val="clear" w:color="auto" w:fill="FFFFFF"/>
            <w:vAlign w:val="bottom"/>
          </w:tcPr>
          <w:p w14:paraId="2225F274" w14:textId="77777777" w:rsidR="00A031A6" w:rsidRDefault="00916FD0">
            <w:pPr>
              <w:jc w:val="right"/>
              <w:rPr>
                <w:color w:val="000000"/>
                <w:sz w:val="14"/>
                <w:szCs w:val="14"/>
              </w:rPr>
            </w:pPr>
            <w:r>
              <w:rPr>
                <w:color w:val="000000"/>
                <w:sz w:val="14"/>
                <w:szCs w:val="14"/>
              </w:rPr>
              <w:t>20,258,465</w:t>
            </w:r>
          </w:p>
        </w:tc>
        <w:tc>
          <w:tcPr>
            <w:tcW w:w="986" w:type="dxa"/>
            <w:gridSpan w:val="2"/>
            <w:tcBorders>
              <w:top w:val="nil"/>
              <w:left w:val="nil"/>
              <w:bottom w:val="nil"/>
              <w:right w:val="nil"/>
            </w:tcBorders>
            <w:shd w:val="clear" w:color="auto" w:fill="FFFFFF"/>
            <w:vAlign w:val="bottom"/>
          </w:tcPr>
          <w:p w14:paraId="24D30FF4" w14:textId="77777777" w:rsidR="00A031A6" w:rsidRDefault="00916FD0">
            <w:pPr>
              <w:jc w:val="right"/>
              <w:rPr>
                <w:color w:val="000000"/>
                <w:sz w:val="14"/>
                <w:szCs w:val="14"/>
              </w:rPr>
            </w:pPr>
            <w:r>
              <w:rPr>
                <w:color w:val="000000"/>
                <w:sz w:val="14"/>
                <w:szCs w:val="14"/>
              </w:rPr>
              <w:t>53%</w:t>
            </w:r>
          </w:p>
        </w:tc>
        <w:tc>
          <w:tcPr>
            <w:tcW w:w="1214" w:type="dxa"/>
            <w:gridSpan w:val="2"/>
            <w:tcBorders>
              <w:top w:val="nil"/>
              <w:left w:val="nil"/>
              <w:bottom w:val="nil"/>
              <w:right w:val="nil"/>
            </w:tcBorders>
            <w:shd w:val="clear" w:color="auto" w:fill="FFFFFF"/>
            <w:vAlign w:val="bottom"/>
          </w:tcPr>
          <w:p w14:paraId="5017C5E0" w14:textId="77777777" w:rsidR="00A031A6" w:rsidRDefault="00916FD0">
            <w:pPr>
              <w:jc w:val="right"/>
              <w:rPr>
                <w:color w:val="000000"/>
                <w:sz w:val="14"/>
                <w:szCs w:val="14"/>
              </w:rPr>
            </w:pPr>
            <w:r>
              <w:rPr>
                <w:color w:val="000000"/>
                <w:sz w:val="14"/>
                <w:szCs w:val="14"/>
              </w:rPr>
              <w:t>17,931,182</w:t>
            </w:r>
          </w:p>
        </w:tc>
        <w:tc>
          <w:tcPr>
            <w:tcW w:w="1216" w:type="dxa"/>
            <w:gridSpan w:val="2"/>
            <w:tcBorders>
              <w:top w:val="nil"/>
              <w:left w:val="nil"/>
              <w:bottom w:val="nil"/>
              <w:right w:val="nil"/>
            </w:tcBorders>
            <w:shd w:val="clear" w:color="auto" w:fill="FFFFFF"/>
            <w:vAlign w:val="bottom"/>
          </w:tcPr>
          <w:p w14:paraId="3B0F1218" w14:textId="77777777" w:rsidR="00A031A6" w:rsidRDefault="00916FD0">
            <w:pPr>
              <w:jc w:val="right"/>
              <w:rPr>
                <w:color w:val="000000"/>
                <w:sz w:val="14"/>
                <w:szCs w:val="14"/>
              </w:rPr>
            </w:pPr>
            <w:r>
              <w:rPr>
                <w:color w:val="000000"/>
                <w:sz w:val="14"/>
                <w:szCs w:val="14"/>
              </w:rPr>
              <w:t>47%</w:t>
            </w:r>
          </w:p>
        </w:tc>
        <w:tc>
          <w:tcPr>
            <w:tcW w:w="988" w:type="dxa"/>
            <w:gridSpan w:val="2"/>
            <w:tcBorders>
              <w:top w:val="nil"/>
              <w:left w:val="nil"/>
              <w:bottom w:val="nil"/>
              <w:right w:val="nil"/>
            </w:tcBorders>
            <w:shd w:val="clear" w:color="auto" w:fill="FFFFFF"/>
            <w:vAlign w:val="bottom"/>
          </w:tcPr>
          <w:p w14:paraId="4C35F5E4" w14:textId="77777777" w:rsidR="00A031A6" w:rsidRDefault="00916FD0">
            <w:pPr>
              <w:jc w:val="right"/>
              <w:rPr>
                <w:color w:val="000000"/>
                <w:sz w:val="14"/>
                <w:szCs w:val="14"/>
              </w:rPr>
            </w:pPr>
            <w:r>
              <w:rPr>
                <w:color w:val="000000"/>
                <w:sz w:val="14"/>
                <w:szCs w:val="14"/>
              </w:rPr>
              <w:t>52%</w:t>
            </w:r>
          </w:p>
        </w:tc>
        <w:tc>
          <w:tcPr>
            <w:tcW w:w="1426" w:type="dxa"/>
            <w:gridSpan w:val="2"/>
            <w:tcBorders>
              <w:top w:val="nil"/>
              <w:left w:val="nil"/>
              <w:bottom w:val="nil"/>
              <w:right w:val="nil"/>
            </w:tcBorders>
            <w:shd w:val="clear" w:color="auto" w:fill="FFFFFF"/>
            <w:vAlign w:val="bottom"/>
          </w:tcPr>
          <w:p w14:paraId="4D26F721" w14:textId="77777777" w:rsidR="00A031A6" w:rsidRDefault="00916FD0">
            <w:pPr>
              <w:jc w:val="right"/>
              <w:rPr>
                <w:color w:val="000000"/>
                <w:sz w:val="14"/>
                <w:szCs w:val="14"/>
              </w:rPr>
            </w:pPr>
            <w:r>
              <w:rPr>
                <w:color w:val="000000"/>
                <w:sz w:val="14"/>
                <w:szCs w:val="14"/>
              </w:rPr>
              <w:t>38,189,647</w:t>
            </w:r>
          </w:p>
        </w:tc>
        <w:tc>
          <w:tcPr>
            <w:tcW w:w="1070" w:type="dxa"/>
            <w:tcBorders>
              <w:top w:val="nil"/>
              <w:left w:val="nil"/>
              <w:bottom w:val="nil"/>
              <w:right w:val="nil"/>
            </w:tcBorders>
            <w:shd w:val="clear" w:color="auto" w:fill="FFFFFF"/>
            <w:vAlign w:val="bottom"/>
          </w:tcPr>
          <w:p w14:paraId="6AE39BE1" w14:textId="77777777" w:rsidR="00A031A6" w:rsidRDefault="00916FD0">
            <w:pPr>
              <w:jc w:val="right"/>
              <w:rPr>
                <w:color w:val="000000"/>
                <w:sz w:val="14"/>
                <w:szCs w:val="14"/>
              </w:rPr>
            </w:pPr>
            <w:r>
              <w:rPr>
                <w:color w:val="000000"/>
                <w:sz w:val="14"/>
                <w:szCs w:val="14"/>
              </w:rPr>
              <w:t>0%</w:t>
            </w:r>
          </w:p>
        </w:tc>
      </w:tr>
      <w:tr w:rsidR="00A031A6" w14:paraId="5E9F554B" w14:textId="77777777">
        <w:trPr>
          <w:trHeight w:val="57"/>
        </w:trPr>
        <w:tc>
          <w:tcPr>
            <w:tcW w:w="1560" w:type="dxa"/>
            <w:gridSpan w:val="2"/>
            <w:tcBorders>
              <w:top w:val="nil"/>
              <w:left w:val="nil"/>
              <w:bottom w:val="nil"/>
              <w:right w:val="nil"/>
            </w:tcBorders>
            <w:shd w:val="clear" w:color="auto" w:fill="FFFFFF"/>
            <w:vAlign w:val="bottom"/>
          </w:tcPr>
          <w:p w14:paraId="047A28AF" w14:textId="77777777" w:rsidR="00A031A6" w:rsidRDefault="00916FD0">
            <w:pPr>
              <w:jc w:val="right"/>
              <w:rPr>
                <w:color w:val="000000"/>
                <w:sz w:val="14"/>
                <w:szCs w:val="14"/>
              </w:rPr>
            </w:pPr>
            <w:r>
              <w:rPr>
                <w:color w:val="000000"/>
                <w:sz w:val="14"/>
                <w:szCs w:val="14"/>
              </w:rPr>
              <w:t>2027</w:t>
            </w:r>
          </w:p>
        </w:tc>
        <w:tc>
          <w:tcPr>
            <w:tcW w:w="1169" w:type="dxa"/>
            <w:tcBorders>
              <w:top w:val="nil"/>
              <w:left w:val="nil"/>
              <w:bottom w:val="nil"/>
              <w:right w:val="nil"/>
            </w:tcBorders>
            <w:shd w:val="clear" w:color="auto" w:fill="FFFFFF"/>
            <w:vAlign w:val="bottom"/>
          </w:tcPr>
          <w:p w14:paraId="5D776696" w14:textId="77777777" w:rsidR="00A031A6" w:rsidRDefault="00916FD0">
            <w:pPr>
              <w:jc w:val="right"/>
              <w:rPr>
                <w:color w:val="000000"/>
                <w:sz w:val="14"/>
                <w:szCs w:val="14"/>
              </w:rPr>
            </w:pPr>
            <w:r>
              <w:rPr>
                <w:color w:val="000000"/>
                <w:sz w:val="14"/>
                <w:szCs w:val="14"/>
              </w:rPr>
              <w:t>40,032,992</w:t>
            </w:r>
          </w:p>
        </w:tc>
        <w:tc>
          <w:tcPr>
            <w:tcW w:w="1043" w:type="dxa"/>
            <w:gridSpan w:val="2"/>
            <w:tcBorders>
              <w:top w:val="nil"/>
              <w:left w:val="nil"/>
              <w:bottom w:val="nil"/>
              <w:right w:val="nil"/>
            </w:tcBorders>
            <w:shd w:val="clear" w:color="auto" w:fill="FFFFFF"/>
            <w:vAlign w:val="bottom"/>
          </w:tcPr>
          <w:p w14:paraId="48A77E5B" w14:textId="77777777" w:rsidR="00A031A6" w:rsidRDefault="00916FD0">
            <w:pPr>
              <w:jc w:val="right"/>
              <w:rPr>
                <w:color w:val="000000"/>
                <w:sz w:val="14"/>
                <w:szCs w:val="14"/>
              </w:rPr>
            </w:pPr>
            <w:r>
              <w:rPr>
                <w:color w:val="000000"/>
                <w:sz w:val="14"/>
                <w:szCs w:val="14"/>
              </w:rPr>
              <w:t>38,189,647</w:t>
            </w:r>
          </w:p>
        </w:tc>
        <w:tc>
          <w:tcPr>
            <w:tcW w:w="967" w:type="dxa"/>
            <w:gridSpan w:val="2"/>
            <w:tcBorders>
              <w:top w:val="nil"/>
              <w:left w:val="nil"/>
              <w:bottom w:val="nil"/>
              <w:right w:val="nil"/>
            </w:tcBorders>
            <w:shd w:val="clear" w:color="auto" w:fill="FFFFFF"/>
            <w:vAlign w:val="bottom"/>
          </w:tcPr>
          <w:p w14:paraId="5CA7382E" w14:textId="77777777" w:rsidR="00A031A6" w:rsidRDefault="00916FD0">
            <w:pPr>
              <w:jc w:val="right"/>
              <w:rPr>
                <w:color w:val="000000"/>
                <w:sz w:val="14"/>
                <w:szCs w:val="14"/>
              </w:rPr>
            </w:pPr>
            <w:r>
              <w:rPr>
                <w:color w:val="000000"/>
                <w:sz w:val="14"/>
                <w:szCs w:val="14"/>
              </w:rPr>
              <w:t>5,662,310</w:t>
            </w:r>
          </w:p>
        </w:tc>
        <w:tc>
          <w:tcPr>
            <w:tcW w:w="1510" w:type="dxa"/>
            <w:gridSpan w:val="2"/>
            <w:tcBorders>
              <w:top w:val="nil"/>
              <w:left w:val="nil"/>
              <w:bottom w:val="nil"/>
              <w:right w:val="nil"/>
            </w:tcBorders>
            <w:shd w:val="clear" w:color="auto" w:fill="FFFFFF"/>
            <w:vAlign w:val="bottom"/>
          </w:tcPr>
          <w:p w14:paraId="162335B9" w14:textId="77777777" w:rsidR="00A031A6" w:rsidRDefault="00916FD0">
            <w:pPr>
              <w:jc w:val="right"/>
              <w:rPr>
                <w:color w:val="000000"/>
                <w:sz w:val="14"/>
                <w:szCs w:val="14"/>
              </w:rPr>
            </w:pPr>
            <w:r>
              <w:rPr>
                <w:color w:val="000000"/>
                <w:sz w:val="14"/>
                <w:szCs w:val="14"/>
              </w:rPr>
              <w:t>2,025,847</w:t>
            </w:r>
          </w:p>
        </w:tc>
        <w:tc>
          <w:tcPr>
            <w:tcW w:w="1254" w:type="dxa"/>
            <w:gridSpan w:val="2"/>
            <w:tcBorders>
              <w:top w:val="nil"/>
              <w:left w:val="nil"/>
              <w:bottom w:val="nil"/>
              <w:right w:val="nil"/>
            </w:tcBorders>
            <w:shd w:val="clear" w:color="auto" w:fill="FFFFFF"/>
            <w:vAlign w:val="bottom"/>
          </w:tcPr>
          <w:p w14:paraId="5FD0BB18" w14:textId="77777777" w:rsidR="00A031A6" w:rsidRDefault="00916FD0">
            <w:pPr>
              <w:jc w:val="right"/>
              <w:rPr>
                <w:color w:val="000000"/>
                <w:sz w:val="14"/>
                <w:szCs w:val="14"/>
              </w:rPr>
            </w:pPr>
            <w:r>
              <w:rPr>
                <w:color w:val="000000"/>
                <w:sz w:val="14"/>
                <w:szCs w:val="14"/>
              </w:rPr>
              <w:t>1,793,118</w:t>
            </w:r>
          </w:p>
        </w:tc>
        <w:tc>
          <w:tcPr>
            <w:tcW w:w="995" w:type="dxa"/>
            <w:tcBorders>
              <w:top w:val="nil"/>
              <w:left w:val="nil"/>
              <w:bottom w:val="nil"/>
              <w:right w:val="nil"/>
            </w:tcBorders>
            <w:shd w:val="clear" w:color="auto" w:fill="FFFFFF"/>
            <w:vAlign w:val="bottom"/>
          </w:tcPr>
          <w:p w14:paraId="65A66D18" w14:textId="77777777" w:rsidR="00A031A6" w:rsidRDefault="00916FD0">
            <w:pPr>
              <w:jc w:val="right"/>
              <w:rPr>
                <w:color w:val="000000"/>
                <w:sz w:val="14"/>
                <w:szCs w:val="14"/>
              </w:rPr>
            </w:pPr>
            <w:r>
              <w:rPr>
                <w:color w:val="000000"/>
                <w:sz w:val="14"/>
                <w:szCs w:val="14"/>
              </w:rPr>
              <w:t>18,232,619</w:t>
            </w:r>
          </w:p>
        </w:tc>
        <w:tc>
          <w:tcPr>
            <w:tcW w:w="986" w:type="dxa"/>
            <w:gridSpan w:val="2"/>
            <w:tcBorders>
              <w:top w:val="nil"/>
              <w:left w:val="nil"/>
              <w:bottom w:val="nil"/>
              <w:right w:val="nil"/>
            </w:tcBorders>
            <w:shd w:val="clear" w:color="auto" w:fill="FFFFFF"/>
            <w:vAlign w:val="bottom"/>
          </w:tcPr>
          <w:p w14:paraId="3CB428B5" w14:textId="77777777" w:rsidR="00A031A6" w:rsidRDefault="00916FD0">
            <w:pPr>
              <w:jc w:val="right"/>
              <w:rPr>
                <w:color w:val="000000"/>
                <w:sz w:val="14"/>
                <w:szCs w:val="14"/>
              </w:rPr>
            </w:pPr>
            <w:r>
              <w:rPr>
                <w:color w:val="000000"/>
                <w:sz w:val="14"/>
                <w:szCs w:val="14"/>
              </w:rPr>
              <w:t>46%</w:t>
            </w:r>
          </w:p>
        </w:tc>
        <w:tc>
          <w:tcPr>
            <w:tcW w:w="1214" w:type="dxa"/>
            <w:gridSpan w:val="2"/>
            <w:tcBorders>
              <w:top w:val="nil"/>
              <w:left w:val="nil"/>
              <w:bottom w:val="nil"/>
              <w:right w:val="nil"/>
            </w:tcBorders>
            <w:shd w:val="clear" w:color="auto" w:fill="FFFFFF"/>
            <w:vAlign w:val="bottom"/>
          </w:tcPr>
          <w:p w14:paraId="668A6C50" w14:textId="77777777" w:rsidR="00A031A6" w:rsidRDefault="00916FD0">
            <w:pPr>
              <w:jc w:val="right"/>
              <w:rPr>
                <w:color w:val="000000"/>
                <w:sz w:val="14"/>
                <w:szCs w:val="14"/>
              </w:rPr>
            </w:pPr>
            <w:r>
              <w:rPr>
                <w:color w:val="000000"/>
                <w:sz w:val="14"/>
                <w:szCs w:val="14"/>
              </w:rPr>
              <w:t>21,800,374</w:t>
            </w:r>
          </w:p>
        </w:tc>
        <w:tc>
          <w:tcPr>
            <w:tcW w:w="1216" w:type="dxa"/>
            <w:gridSpan w:val="2"/>
            <w:tcBorders>
              <w:top w:val="nil"/>
              <w:left w:val="nil"/>
              <w:bottom w:val="nil"/>
              <w:right w:val="nil"/>
            </w:tcBorders>
            <w:shd w:val="clear" w:color="auto" w:fill="FFFFFF"/>
            <w:vAlign w:val="bottom"/>
          </w:tcPr>
          <w:p w14:paraId="676A1A9E" w14:textId="77777777" w:rsidR="00A031A6" w:rsidRDefault="00916FD0">
            <w:pPr>
              <w:jc w:val="right"/>
              <w:rPr>
                <w:color w:val="000000"/>
                <w:sz w:val="14"/>
                <w:szCs w:val="14"/>
              </w:rPr>
            </w:pPr>
            <w:r>
              <w:rPr>
                <w:color w:val="000000"/>
                <w:sz w:val="14"/>
                <w:szCs w:val="14"/>
              </w:rPr>
              <w:t>54%</w:t>
            </w:r>
          </w:p>
        </w:tc>
        <w:tc>
          <w:tcPr>
            <w:tcW w:w="988" w:type="dxa"/>
            <w:gridSpan w:val="2"/>
            <w:tcBorders>
              <w:top w:val="nil"/>
              <w:left w:val="nil"/>
              <w:bottom w:val="nil"/>
              <w:right w:val="nil"/>
            </w:tcBorders>
            <w:shd w:val="clear" w:color="auto" w:fill="FFFFFF"/>
            <w:vAlign w:val="bottom"/>
          </w:tcPr>
          <w:p w14:paraId="6C8C0C44" w14:textId="77777777" w:rsidR="00A031A6" w:rsidRDefault="00916FD0">
            <w:pPr>
              <w:jc w:val="right"/>
              <w:rPr>
                <w:color w:val="000000"/>
                <w:sz w:val="14"/>
                <w:szCs w:val="14"/>
              </w:rPr>
            </w:pPr>
            <w:r>
              <w:rPr>
                <w:color w:val="000000"/>
                <w:sz w:val="14"/>
                <w:szCs w:val="14"/>
              </w:rPr>
              <w:t>54%</w:t>
            </w:r>
          </w:p>
        </w:tc>
        <w:tc>
          <w:tcPr>
            <w:tcW w:w="1426" w:type="dxa"/>
            <w:gridSpan w:val="2"/>
            <w:tcBorders>
              <w:top w:val="nil"/>
              <w:left w:val="nil"/>
              <w:bottom w:val="nil"/>
              <w:right w:val="nil"/>
            </w:tcBorders>
            <w:shd w:val="clear" w:color="auto" w:fill="FFFFFF"/>
            <w:vAlign w:val="bottom"/>
          </w:tcPr>
          <w:p w14:paraId="53BF89FB" w14:textId="77777777" w:rsidR="00A031A6" w:rsidRDefault="00916FD0">
            <w:pPr>
              <w:jc w:val="right"/>
              <w:rPr>
                <w:color w:val="000000"/>
                <w:sz w:val="14"/>
                <w:szCs w:val="14"/>
              </w:rPr>
            </w:pPr>
            <w:r>
              <w:rPr>
                <w:color w:val="000000"/>
                <w:sz w:val="14"/>
                <w:szCs w:val="14"/>
              </w:rPr>
              <w:t>40,032,992</w:t>
            </w:r>
          </w:p>
        </w:tc>
        <w:tc>
          <w:tcPr>
            <w:tcW w:w="1070" w:type="dxa"/>
            <w:tcBorders>
              <w:top w:val="nil"/>
              <w:left w:val="nil"/>
              <w:bottom w:val="nil"/>
              <w:right w:val="nil"/>
            </w:tcBorders>
            <w:shd w:val="clear" w:color="auto" w:fill="FFFFFF"/>
            <w:vAlign w:val="bottom"/>
          </w:tcPr>
          <w:p w14:paraId="761D56FE" w14:textId="77777777" w:rsidR="00A031A6" w:rsidRDefault="00916FD0">
            <w:pPr>
              <w:jc w:val="right"/>
              <w:rPr>
                <w:color w:val="000000"/>
                <w:sz w:val="14"/>
                <w:szCs w:val="14"/>
              </w:rPr>
            </w:pPr>
            <w:r>
              <w:rPr>
                <w:color w:val="000000"/>
                <w:sz w:val="14"/>
                <w:szCs w:val="14"/>
              </w:rPr>
              <w:t>0%</w:t>
            </w:r>
          </w:p>
        </w:tc>
      </w:tr>
      <w:tr w:rsidR="00A031A6" w14:paraId="3D37E9E9" w14:textId="77777777">
        <w:trPr>
          <w:trHeight w:val="57"/>
        </w:trPr>
        <w:tc>
          <w:tcPr>
            <w:tcW w:w="1560" w:type="dxa"/>
            <w:gridSpan w:val="2"/>
            <w:tcBorders>
              <w:top w:val="nil"/>
              <w:left w:val="nil"/>
              <w:bottom w:val="nil"/>
              <w:right w:val="nil"/>
            </w:tcBorders>
            <w:shd w:val="clear" w:color="auto" w:fill="FFFFFF"/>
            <w:vAlign w:val="bottom"/>
          </w:tcPr>
          <w:p w14:paraId="21980460" w14:textId="77777777" w:rsidR="00A031A6" w:rsidRDefault="00916FD0">
            <w:pPr>
              <w:jc w:val="right"/>
              <w:rPr>
                <w:color w:val="000000"/>
                <w:sz w:val="14"/>
                <w:szCs w:val="14"/>
              </w:rPr>
            </w:pPr>
            <w:r>
              <w:rPr>
                <w:color w:val="000000"/>
                <w:sz w:val="14"/>
                <w:szCs w:val="14"/>
              </w:rPr>
              <w:t>2028</w:t>
            </w:r>
          </w:p>
        </w:tc>
        <w:tc>
          <w:tcPr>
            <w:tcW w:w="1169" w:type="dxa"/>
            <w:tcBorders>
              <w:top w:val="nil"/>
              <w:left w:val="nil"/>
              <w:bottom w:val="nil"/>
              <w:right w:val="nil"/>
            </w:tcBorders>
            <w:shd w:val="clear" w:color="auto" w:fill="FFFFFF"/>
            <w:vAlign w:val="bottom"/>
          </w:tcPr>
          <w:p w14:paraId="5FECA074" w14:textId="77777777" w:rsidR="00A031A6" w:rsidRDefault="00916FD0">
            <w:pPr>
              <w:jc w:val="right"/>
              <w:rPr>
                <w:color w:val="000000"/>
                <w:sz w:val="14"/>
                <w:szCs w:val="14"/>
              </w:rPr>
            </w:pPr>
            <w:r>
              <w:rPr>
                <w:color w:val="000000"/>
                <w:sz w:val="14"/>
                <w:szCs w:val="14"/>
              </w:rPr>
              <w:t>42,258,234</w:t>
            </w:r>
          </w:p>
        </w:tc>
        <w:tc>
          <w:tcPr>
            <w:tcW w:w="1043" w:type="dxa"/>
            <w:gridSpan w:val="2"/>
            <w:tcBorders>
              <w:top w:val="nil"/>
              <w:left w:val="nil"/>
              <w:bottom w:val="nil"/>
              <w:right w:val="nil"/>
            </w:tcBorders>
            <w:shd w:val="clear" w:color="auto" w:fill="FFFFFF"/>
            <w:vAlign w:val="bottom"/>
          </w:tcPr>
          <w:p w14:paraId="13D46A38" w14:textId="77777777" w:rsidR="00A031A6" w:rsidRDefault="00916FD0">
            <w:pPr>
              <w:jc w:val="right"/>
              <w:rPr>
                <w:color w:val="000000"/>
                <w:sz w:val="14"/>
                <w:szCs w:val="14"/>
              </w:rPr>
            </w:pPr>
            <w:r>
              <w:rPr>
                <w:color w:val="000000"/>
                <w:sz w:val="14"/>
                <w:szCs w:val="14"/>
              </w:rPr>
              <w:t>40,032,992</w:t>
            </w:r>
          </w:p>
        </w:tc>
        <w:tc>
          <w:tcPr>
            <w:tcW w:w="967" w:type="dxa"/>
            <w:gridSpan w:val="2"/>
            <w:tcBorders>
              <w:top w:val="nil"/>
              <w:left w:val="nil"/>
              <w:bottom w:val="nil"/>
              <w:right w:val="nil"/>
            </w:tcBorders>
            <w:shd w:val="clear" w:color="auto" w:fill="FFFFFF"/>
            <w:vAlign w:val="bottom"/>
          </w:tcPr>
          <w:p w14:paraId="56FBA548" w14:textId="77777777" w:rsidR="00A031A6" w:rsidRDefault="00916FD0">
            <w:pPr>
              <w:jc w:val="right"/>
              <w:rPr>
                <w:color w:val="000000"/>
                <w:sz w:val="14"/>
                <w:szCs w:val="14"/>
              </w:rPr>
            </w:pPr>
            <w:r>
              <w:rPr>
                <w:color w:val="000000"/>
                <w:sz w:val="14"/>
                <w:szCs w:val="14"/>
              </w:rPr>
              <w:t>6,228,541</w:t>
            </w:r>
          </w:p>
        </w:tc>
        <w:tc>
          <w:tcPr>
            <w:tcW w:w="1510" w:type="dxa"/>
            <w:gridSpan w:val="2"/>
            <w:tcBorders>
              <w:top w:val="nil"/>
              <w:left w:val="nil"/>
              <w:bottom w:val="nil"/>
              <w:right w:val="nil"/>
            </w:tcBorders>
            <w:shd w:val="clear" w:color="auto" w:fill="FFFFFF"/>
            <w:vAlign w:val="bottom"/>
          </w:tcPr>
          <w:p w14:paraId="0F00AB2D" w14:textId="77777777" w:rsidR="00A031A6" w:rsidRDefault="00916FD0">
            <w:pPr>
              <w:jc w:val="right"/>
              <w:rPr>
                <w:color w:val="000000"/>
                <w:sz w:val="14"/>
                <w:szCs w:val="14"/>
              </w:rPr>
            </w:pPr>
            <w:r>
              <w:rPr>
                <w:color w:val="000000"/>
                <w:sz w:val="14"/>
                <w:szCs w:val="14"/>
              </w:rPr>
              <w:t>1,823,262</w:t>
            </w:r>
          </w:p>
        </w:tc>
        <w:tc>
          <w:tcPr>
            <w:tcW w:w="1254" w:type="dxa"/>
            <w:gridSpan w:val="2"/>
            <w:tcBorders>
              <w:top w:val="nil"/>
              <w:left w:val="nil"/>
              <w:bottom w:val="nil"/>
              <w:right w:val="nil"/>
            </w:tcBorders>
            <w:shd w:val="clear" w:color="auto" w:fill="FFFFFF"/>
            <w:vAlign w:val="bottom"/>
          </w:tcPr>
          <w:p w14:paraId="27B3A608" w14:textId="77777777" w:rsidR="00A031A6" w:rsidRDefault="00916FD0">
            <w:pPr>
              <w:jc w:val="right"/>
              <w:rPr>
                <w:color w:val="000000"/>
                <w:sz w:val="14"/>
                <w:szCs w:val="14"/>
              </w:rPr>
            </w:pPr>
            <w:r>
              <w:rPr>
                <w:color w:val="000000"/>
                <w:sz w:val="14"/>
                <w:szCs w:val="14"/>
              </w:rPr>
              <w:t>2,180,037</w:t>
            </w:r>
          </w:p>
        </w:tc>
        <w:tc>
          <w:tcPr>
            <w:tcW w:w="995" w:type="dxa"/>
            <w:tcBorders>
              <w:top w:val="nil"/>
              <w:left w:val="nil"/>
              <w:bottom w:val="nil"/>
              <w:right w:val="nil"/>
            </w:tcBorders>
            <w:shd w:val="clear" w:color="auto" w:fill="FFFFFF"/>
            <w:vAlign w:val="bottom"/>
          </w:tcPr>
          <w:p w14:paraId="31F53BBA" w14:textId="77777777" w:rsidR="00A031A6" w:rsidRDefault="00916FD0">
            <w:pPr>
              <w:jc w:val="right"/>
              <w:rPr>
                <w:color w:val="000000"/>
                <w:sz w:val="14"/>
                <w:szCs w:val="14"/>
              </w:rPr>
            </w:pPr>
            <w:r>
              <w:rPr>
                <w:color w:val="000000"/>
                <w:sz w:val="14"/>
                <w:szCs w:val="14"/>
              </w:rPr>
              <w:t>16,409,357</w:t>
            </w:r>
          </w:p>
        </w:tc>
        <w:tc>
          <w:tcPr>
            <w:tcW w:w="986" w:type="dxa"/>
            <w:gridSpan w:val="2"/>
            <w:tcBorders>
              <w:top w:val="nil"/>
              <w:left w:val="nil"/>
              <w:bottom w:val="nil"/>
              <w:right w:val="nil"/>
            </w:tcBorders>
            <w:shd w:val="clear" w:color="auto" w:fill="FFFFFF"/>
            <w:vAlign w:val="bottom"/>
          </w:tcPr>
          <w:p w14:paraId="2801189A" w14:textId="77777777" w:rsidR="00A031A6" w:rsidRDefault="00916FD0">
            <w:pPr>
              <w:jc w:val="right"/>
              <w:rPr>
                <w:color w:val="000000"/>
                <w:sz w:val="14"/>
                <w:szCs w:val="14"/>
              </w:rPr>
            </w:pPr>
            <w:r>
              <w:rPr>
                <w:color w:val="000000"/>
                <w:sz w:val="14"/>
                <w:szCs w:val="14"/>
              </w:rPr>
              <w:t>39%</w:t>
            </w:r>
          </w:p>
        </w:tc>
        <w:tc>
          <w:tcPr>
            <w:tcW w:w="1214" w:type="dxa"/>
            <w:gridSpan w:val="2"/>
            <w:tcBorders>
              <w:top w:val="nil"/>
              <w:left w:val="nil"/>
              <w:bottom w:val="nil"/>
              <w:right w:val="nil"/>
            </w:tcBorders>
            <w:shd w:val="clear" w:color="auto" w:fill="FFFFFF"/>
            <w:vAlign w:val="bottom"/>
          </w:tcPr>
          <w:p w14:paraId="4D19911B" w14:textId="77777777" w:rsidR="00A031A6" w:rsidRDefault="00916FD0">
            <w:pPr>
              <w:jc w:val="right"/>
              <w:rPr>
                <w:color w:val="000000"/>
                <w:sz w:val="14"/>
                <w:szCs w:val="14"/>
              </w:rPr>
            </w:pPr>
            <w:r>
              <w:rPr>
                <w:color w:val="000000"/>
                <w:sz w:val="14"/>
                <w:szCs w:val="14"/>
              </w:rPr>
              <w:t>25,848,877</w:t>
            </w:r>
          </w:p>
        </w:tc>
        <w:tc>
          <w:tcPr>
            <w:tcW w:w="1216" w:type="dxa"/>
            <w:gridSpan w:val="2"/>
            <w:tcBorders>
              <w:top w:val="nil"/>
              <w:left w:val="nil"/>
              <w:bottom w:val="nil"/>
              <w:right w:val="nil"/>
            </w:tcBorders>
            <w:shd w:val="clear" w:color="auto" w:fill="FFFFFF"/>
            <w:vAlign w:val="bottom"/>
          </w:tcPr>
          <w:p w14:paraId="68E08562" w14:textId="77777777" w:rsidR="00A031A6" w:rsidRDefault="00916FD0">
            <w:pPr>
              <w:jc w:val="right"/>
              <w:rPr>
                <w:color w:val="000000"/>
                <w:sz w:val="14"/>
                <w:szCs w:val="14"/>
              </w:rPr>
            </w:pPr>
            <w:r>
              <w:rPr>
                <w:color w:val="000000"/>
                <w:sz w:val="14"/>
                <w:szCs w:val="14"/>
              </w:rPr>
              <w:t>61%</w:t>
            </w:r>
          </w:p>
        </w:tc>
        <w:tc>
          <w:tcPr>
            <w:tcW w:w="988" w:type="dxa"/>
            <w:gridSpan w:val="2"/>
            <w:tcBorders>
              <w:top w:val="nil"/>
              <w:left w:val="nil"/>
              <w:bottom w:val="nil"/>
              <w:right w:val="nil"/>
            </w:tcBorders>
            <w:shd w:val="clear" w:color="auto" w:fill="FFFFFF"/>
            <w:vAlign w:val="bottom"/>
          </w:tcPr>
          <w:p w14:paraId="0869F2DF" w14:textId="77777777" w:rsidR="00A031A6" w:rsidRDefault="00916FD0">
            <w:pPr>
              <w:jc w:val="right"/>
              <w:rPr>
                <w:color w:val="000000"/>
                <w:sz w:val="14"/>
                <w:szCs w:val="14"/>
              </w:rPr>
            </w:pPr>
            <w:r>
              <w:rPr>
                <w:color w:val="000000"/>
                <w:sz w:val="14"/>
                <w:szCs w:val="14"/>
              </w:rPr>
              <w:t>57%</w:t>
            </w:r>
          </w:p>
        </w:tc>
        <w:tc>
          <w:tcPr>
            <w:tcW w:w="1426" w:type="dxa"/>
            <w:gridSpan w:val="2"/>
            <w:tcBorders>
              <w:top w:val="nil"/>
              <w:left w:val="nil"/>
              <w:bottom w:val="nil"/>
              <w:right w:val="nil"/>
            </w:tcBorders>
            <w:shd w:val="clear" w:color="auto" w:fill="FFFFFF"/>
            <w:vAlign w:val="bottom"/>
          </w:tcPr>
          <w:p w14:paraId="6397088F" w14:textId="77777777" w:rsidR="00A031A6" w:rsidRDefault="00916FD0">
            <w:pPr>
              <w:jc w:val="right"/>
              <w:rPr>
                <w:color w:val="000000"/>
                <w:sz w:val="14"/>
                <w:szCs w:val="14"/>
              </w:rPr>
            </w:pPr>
            <w:r>
              <w:rPr>
                <w:color w:val="000000"/>
                <w:sz w:val="14"/>
                <w:szCs w:val="14"/>
              </w:rPr>
              <w:t>42,258,234</w:t>
            </w:r>
          </w:p>
        </w:tc>
        <w:tc>
          <w:tcPr>
            <w:tcW w:w="1070" w:type="dxa"/>
            <w:tcBorders>
              <w:top w:val="nil"/>
              <w:left w:val="nil"/>
              <w:bottom w:val="nil"/>
              <w:right w:val="nil"/>
            </w:tcBorders>
            <w:shd w:val="clear" w:color="auto" w:fill="FFFFFF"/>
            <w:vAlign w:val="bottom"/>
          </w:tcPr>
          <w:p w14:paraId="343054F4" w14:textId="77777777" w:rsidR="00A031A6" w:rsidRDefault="00916FD0">
            <w:pPr>
              <w:jc w:val="right"/>
              <w:rPr>
                <w:color w:val="000000"/>
                <w:sz w:val="14"/>
                <w:szCs w:val="14"/>
              </w:rPr>
            </w:pPr>
            <w:r>
              <w:rPr>
                <w:color w:val="000000"/>
                <w:sz w:val="14"/>
                <w:szCs w:val="14"/>
              </w:rPr>
              <w:t>0%</w:t>
            </w:r>
          </w:p>
        </w:tc>
      </w:tr>
      <w:tr w:rsidR="00A031A6" w14:paraId="3937513E" w14:textId="77777777">
        <w:trPr>
          <w:trHeight w:val="57"/>
        </w:trPr>
        <w:tc>
          <w:tcPr>
            <w:tcW w:w="1560" w:type="dxa"/>
            <w:gridSpan w:val="2"/>
            <w:tcBorders>
              <w:top w:val="nil"/>
              <w:left w:val="nil"/>
              <w:bottom w:val="nil"/>
              <w:right w:val="nil"/>
            </w:tcBorders>
            <w:shd w:val="clear" w:color="auto" w:fill="FFFFFF"/>
            <w:vAlign w:val="bottom"/>
          </w:tcPr>
          <w:p w14:paraId="25155E3F" w14:textId="77777777" w:rsidR="00A031A6" w:rsidRDefault="00916FD0">
            <w:pPr>
              <w:jc w:val="right"/>
              <w:rPr>
                <w:color w:val="000000"/>
                <w:sz w:val="14"/>
                <w:szCs w:val="14"/>
              </w:rPr>
            </w:pPr>
            <w:r>
              <w:rPr>
                <w:color w:val="000000"/>
                <w:sz w:val="14"/>
                <w:szCs w:val="14"/>
              </w:rPr>
              <w:t>2029</w:t>
            </w:r>
          </w:p>
        </w:tc>
        <w:tc>
          <w:tcPr>
            <w:tcW w:w="1169" w:type="dxa"/>
            <w:tcBorders>
              <w:top w:val="nil"/>
              <w:left w:val="nil"/>
              <w:bottom w:val="nil"/>
              <w:right w:val="nil"/>
            </w:tcBorders>
            <w:shd w:val="clear" w:color="auto" w:fill="FFFFFF"/>
            <w:vAlign w:val="bottom"/>
          </w:tcPr>
          <w:p w14:paraId="3FCD5F1E" w14:textId="77777777" w:rsidR="00A031A6" w:rsidRDefault="00916FD0">
            <w:pPr>
              <w:jc w:val="right"/>
              <w:rPr>
                <w:color w:val="000000"/>
                <w:sz w:val="14"/>
                <w:szCs w:val="14"/>
              </w:rPr>
            </w:pPr>
            <w:r>
              <w:rPr>
                <w:color w:val="000000"/>
                <w:sz w:val="14"/>
                <w:szCs w:val="14"/>
              </w:rPr>
              <w:t>44,883,806</w:t>
            </w:r>
          </w:p>
        </w:tc>
        <w:tc>
          <w:tcPr>
            <w:tcW w:w="1043" w:type="dxa"/>
            <w:gridSpan w:val="2"/>
            <w:tcBorders>
              <w:top w:val="nil"/>
              <w:left w:val="nil"/>
              <w:bottom w:val="nil"/>
              <w:right w:val="nil"/>
            </w:tcBorders>
            <w:shd w:val="clear" w:color="auto" w:fill="FFFFFF"/>
            <w:vAlign w:val="bottom"/>
          </w:tcPr>
          <w:p w14:paraId="44C6DFA2" w14:textId="77777777" w:rsidR="00A031A6" w:rsidRDefault="00916FD0">
            <w:pPr>
              <w:jc w:val="right"/>
              <w:rPr>
                <w:color w:val="000000"/>
                <w:sz w:val="14"/>
                <w:szCs w:val="14"/>
              </w:rPr>
            </w:pPr>
            <w:r>
              <w:rPr>
                <w:color w:val="000000"/>
                <w:sz w:val="14"/>
                <w:szCs w:val="14"/>
              </w:rPr>
              <w:t>42,258,234</w:t>
            </w:r>
          </w:p>
        </w:tc>
        <w:tc>
          <w:tcPr>
            <w:tcW w:w="967" w:type="dxa"/>
            <w:gridSpan w:val="2"/>
            <w:tcBorders>
              <w:top w:val="nil"/>
              <w:left w:val="nil"/>
              <w:bottom w:val="nil"/>
              <w:right w:val="nil"/>
            </w:tcBorders>
            <w:shd w:val="clear" w:color="auto" w:fill="FFFFFF"/>
            <w:vAlign w:val="bottom"/>
          </w:tcPr>
          <w:p w14:paraId="1C7E2C9C" w14:textId="77777777" w:rsidR="00A031A6" w:rsidRDefault="00916FD0">
            <w:pPr>
              <w:jc w:val="right"/>
              <w:rPr>
                <w:color w:val="000000"/>
                <w:sz w:val="14"/>
                <w:szCs w:val="14"/>
              </w:rPr>
            </w:pPr>
            <w:r>
              <w:rPr>
                <w:color w:val="000000"/>
                <w:sz w:val="14"/>
                <w:szCs w:val="14"/>
              </w:rPr>
              <w:t>6,851,395</w:t>
            </w:r>
          </w:p>
        </w:tc>
        <w:tc>
          <w:tcPr>
            <w:tcW w:w="1510" w:type="dxa"/>
            <w:gridSpan w:val="2"/>
            <w:tcBorders>
              <w:top w:val="nil"/>
              <w:left w:val="nil"/>
              <w:bottom w:val="nil"/>
              <w:right w:val="nil"/>
            </w:tcBorders>
            <w:shd w:val="clear" w:color="auto" w:fill="FFFFFF"/>
            <w:vAlign w:val="bottom"/>
          </w:tcPr>
          <w:p w14:paraId="2F821F96" w14:textId="77777777" w:rsidR="00A031A6" w:rsidRDefault="00916FD0">
            <w:pPr>
              <w:jc w:val="right"/>
              <w:rPr>
                <w:color w:val="000000"/>
                <w:sz w:val="14"/>
                <w:szCs w:val="14"/>
              </w:rPr>
            </w:pPr>
            <w:r>
              <w:rPr>
                <w:color w:val="000000"/>
                <w:sz w:val="14"/>
                <w:szCs w:val="14"/>
              </w:rPr>
              <w:t>1,640,936</w:t>
            </w:r>
          </w:p>
        </w:tc>
        <w:tc>
          <w:tcPr>
            <w:tcW w:w="1254" w:type="dxa"/>
            <w:gridSpan w:val="2"/>
            <w:tcBorders>
              <w:top w:val="nil"/>
              <w:left w:val="nil"/>
              <w:bottom w:val="nil"/>
              <w:right w:val="nil"/>
            </w:tcBorders>
            <w:shd w:val="clear" w:color="auto" w:fill="FFFFFF"/>
            <w:vAlign w:val="bottom"/>
          </w:tcPr>
          <w:p w14:paraId="2E0278D6" w14:textId="77777777" w:rsidR="00A031A6" w:rsidRDefault="00916FD0">
            <w:pPr>
              <w:jc w:val="right"/>
              <w:rPr>
                <w:color w:val="000000"/>
                <w:sz w:val="14"/>
                <w:szCs w:val="14"/>
              </w:rPr>
            </w:pPr>
            <w:r>
              <w:rPr>
                <w:color w:val="000000"/>
                <w:sz w:val="14"/>
                <w:szCs w:val="14"/>
              </w:rPr>
              <w:t>2,584,888</w:t>
            </w:r>
          </w:p>
        </w:tc>
        <w:tc>
          <w:tcPr>
            <w:tcW w:w="995" w:type="dxa"/>
            <w:tcBorders>
              <w:top w:val="nil"/>
              <w:left w:val="nil"/>
              <w:bottom w:val="nil"/>
              <w:right w:val="nil"/>
            </w:tcBorders>
            <w:shd w:val="clear" w:color="auto" w:fill="FFFFFF"/>
            <w:vAlign w:val="bottom"/>
          </w:tcPr>
          <w:p w14:paraId="2FE27E30" w14:textId="77777777" w:rsidR="00A031A6" w:rsidRDefault="00916FD0">
            <w:pPr>
              <w:jc w:val="right"/>
              <w:rPr>
                <w:color w:val="000000"/>
                <w:sz w:val="14"/>
                <w:szCs w:val="14"/>
              </w:rPr>
            </w:pPr>
            <w:r>
              <w:rPr>
                <w:color w:val="000000"/>
                <w:sz w:val="14"/>
                <w:szCs w:val="14"/>
              </w:rPr>
              <w:t>14,768,421</w:t>
            </w:r>
          </w:p>
        </w:tc>
        <w:tc>
          <w:tcPr>
            <w:tcW w:w="986" w:type="dxa"/>
            <w:gridSpan w:val="2"/>
            <w:tcBorders>
              <w:top w:val="nil"/>
              <w:left w:val="nil"/>
              <w:bottom w:val="nil"/>
              <w:right w:val="nil"/>
            </w:tcBorders>
            <w:shd w:val="clear" w:color="auto" w:fill="FFFFFF"/>
            <w:vAlign w:val="bottom"/>
          </w:tcPr>
          <w:p w14:paraId="1F0FC61D" w14:textId="77777777" w:rsidR="00A031A6" w:rsidRDefault="00916FD0">
            <w:pPr>
              <w:jc w:val="right"/>
              <w:rPr>
                <w:color w:val="000000"/>
                <w:sz w:val="14"/>
                <w:szCs w:val="14"/>
              </w:rPr>
            </w:pPr>
            <w:r>
              <w:rPr>
                <w:color w:val="000000"/>
                <w:sz w:val="14"/>
                <w:szCs w:val="14"/>
              </w:rPr>
              <w:t>33%</w:t>
            </w:r>
          </w:p>
        </w:tc>
        <w:tc>
          <w:tcPr>
            <w:tcW w:w="1214" w:type="dxa"/>
            <w:gridSpan w:val="2"/>
            <w:tcBorders>
              <w:top w:val="nil"/>
              <w:left w:val="nil"/>
              <w:bottom w:val="nil"/>
              <w:right w:val="nil"/>
            </w:tcBorders>
            <w:shd w:val="clear" w:color="auto" w:fill="FFFFFF"/>
            <w:vAlign w:val="bottom"/>
          </w:tcPr>
          <w:p w14:paraId="3B3015BC" w14:textId="77777777" w:rsidR="00A031A6" w:rsidRDefault="00916FD0">
            <w:pPr>
              <w:jc w:val="right"/>
              <w:rPr>
                <w:color w:val="000000"/>
                <w:sz w:val="14"/>
                <w:szCs w:val="14"/>
              </w:rPr>
            </w:pPr>
            <w:r>
              <w:rPr>
                <w:color w:val="000000"/>
                <w:sz w:val="14"/>
                <w:szCs w:val="14"/>
              </w:rPr>
              <w:t>30,115,385</w:t>
            </w:r>
          </w:p>
        </w:tc>
        <w:tc>
          <w:tcPr>
            <w:tcW w:w="1216" w:type="dxa"/>
            <w:gridSpan w:val="2"/>
            <w:tcBorders>
              <w:top w:val="nil"/>
              <w:left w:val="nil"/>
              <w:bottom w:val="nil"/>
              <w:right w:val="nil"/>
            </w:tcBorders>
            <w:shd w:val="clear" w:color="auto" w:fill="FFFFFF"/>
            <w:vAlign w:val="bottom"/>
          </w:tcPr>
          <w:p w14:paraId="3EBEA6E9" w14:textId="77777777" w:rsidR="00A031A6" w:rsidRDefault="00916FD0">
            <w:pPr>
              <w:jc w:val="right"/>
              <w:rPr>
                <w:color w:val="000000"/>
                <w:sz w:val="14"/>
                <w:szCs w:val="14"/>
              </w:rPr>
            </w:pPr>
            <w:r>
              <w:rPr>
                <w:color w:val="000000"/>
                <w:sz w:val="14"/>
                <w:szCs w:val="14"/>
              </w:rPr>
              <w:t>67%</w:t>
            </w:r>
          </w:p>
        </w:tc>
        <w:tc>
          <w:tcPr>
            <w:tcW w:w="988" w:type="dxa"/>
            <w:gridSpan w:val="2"/>
            <w:tcBorders>
              <w:top w:val="nil"/>
              <w:left w:val="nil"/>
              <w:bottom w:val="nil"/>
              <w:right w:val="nil"/>
            </w:tcBorders>
            <w:shd w:val="clear" w:color="auto" w:fill="FFFFFF"/>
            <w:vAlign w:val="bottom"/>
          </w:tcPr>
          <w:p w14:paraId="33161BC7" w14:textId="77777777" w:rsidR="00A031A6" w:rsidRDefault="00916FD0">
            <w:pPr>
              <w:jc w:val="right"/>
              <w:rPr>
                <w:color w:val="000000"/>
                <w:sz w:val="14"/>
                <w:szCs w:val="14"/>
              </w:rPr>
            </w:pPr>
            <w:r>
              <w:rPr>
                <w:color w:val="000000"/>
                <w:sz w:val="14"/>
                <w:szCs w:val="14"/>
              </w:rPr>
              <w:t>60%</w:t>
            </w:r>
          </w:p>
        </w:tc>
        <w:tc>
          <w:tcPr>
            <w:tcW w:w="1426" w:type="dxa"/>
            <w:gridSpan w:val="2"/>
            <w:tcBorders>
              <w:top w:val="nil"/>
              <w:left w:val="nil"/>
              <w:bottom w:val="nil"/>
              <w:right w:val="nil"/>
            </w:tcBorders>
            <w:shd w:val="clear" w:color="auto" w:fill="FFFFFF"/>
            <w:vAlign w:val="bottom"/>
          </w:tcPr>
          <w:p w14:paraId="723460AE" w14:textId="77777777" w:rsidR="00A031A6" w:rsidRDefault="00916FD0">
            <w:pPr>
              <w:jc w:val="right"/>
              <w:rPr>
                <w:color w:val="000000"/>
                <w:sz w:val="14"/>
                <w:szCs w:val="14"/>
              </w:rPr>
            </w:pPr>
            <w:r>
              <w:rPr>
                <w:color w:val="000000"/>
                <w:sz w:val="14"/>
                <w:szCs w:val="14"/>
              </w:rPr>
              <w:t>44,883,806</w:t>
            </w:r>
          </w:p>
        </w:tc>
        <w:tc>
          <w:tcPr>
            <w:tcW w:w="1070" w:type="dxa"/>
            <w:tcBorders>
              <w:top w:val="nil"/>
              <w:left w:val="nil"/>
              <w:bottom w:val="nil"/>
              <w:right w:val="nil"/>
            </w:tcBorders>
            <w:shd w:val="clear" w:color="auto" w:fill="FFFFFF"/>
            <w:vAlign w:val="bottom"/>
          </w:tcPr>
          <w:p w14:paraId="5E6DE6AD" w14:textId="77777777" w:rsidR="00A031A6" w:rsidRDefault="00916FD0">
            <w:pPr>
              <w:jc w:val="right"/>
              <w:rPr>
                <w:color w:val="000000"/>
                <w:sz w:val="14"/>
                <w:szCs w:val="14"/>
              </w:rPr>
            </w:pPr>
            <w:r>
              <w:rPr>
                <w:color w:val="000000"/>
                <w:sz w:val="14"/>
                <w:szCs w:val="14"/>
              </w:rPr>
              <w:t>0%</w:t>
            </w:r>
          </w:p>
        </w:tc>
      </w:tr>
      <w:tr w:rsidR="00A031A6" w14:paraId="7A7137DE" w14:textId="77777777">
        <w:trPr>
          <w:trHeight w:val="57"/>
        </w:trPr>
        <w:tc>
          <w:tcPr>
            <w:tcW w:w="1560" w:type="dxa"/>
            <w:gridSpan w:val="2"/>
            <w:tcBorders>
              <w:top w:val="nil"/>
              <w:left w:val="nil"/>
              <w:bottom w:val="nil"/>
              <w:right w:val="nil"/>
            </w:tcBorders>
            <w:shd w:val="clear" w:color="auto" w:fill="FFFFFF"/>
            <w:vAlign w:val="bottom"/>
          </w:tcPr>
          <w:p w14:paraId="1A347B90" w14:textId="77777777" w:rsidR="00A031A6" w:rsidRDefault="00916FD0">
            <w:pPr>
              <w:jc w:val="right"/>
              <w:rPr>
                <w:color w:val="000000"/>
                <w:sz w:val="14"/>
                <w:szCs w:val="14"/>
              </w:rPr>
            </w:pPr>
            <w:r>
              <w:rPr>
                <w:color w:val="000000"/>
                <w:sz w:val="14"/>
                <w:szCs w:val="14"/>
              </w:rPr>
              <w:t>2030</w:t>
            </w:r>
          </w:p>
        </w:tc>
        <w:tc>
          <w:tcPr>
            <w:tcW w:w="1169" w:type="dxa"/>
            <w:tcBorders>
              <w:top w:val="nil"/>
              <w:left w:val="nil"/>
              <w:bottom w:val="nil"/>
              <w:right w:val="nil"/>
            </w:tcBorders>
            <w:shd w:val="clear" w:color="auto" w:fill="FFFFFF"/>
            <w:vAlign w:val="bottom"/>
          </w:tcPr>
          <w:p w14:paraId="6A74F417" w14:textId="77777777" w:rsidR="00A031A6" w:rsidRDefault="00916FD0">
            <w:pPr>
              <w:jc w:val="right"/>
              <w:rPr>
                <w:color w:val="000000"/>
                <w:sz w:val="14"/>
                <w:szCs w:val="14"/>
              </w:rPr>
            </w:pPr>
            <w:r>
              <w:rPr>
                <w:color w:val="000000"/>
                <w:sz w:val="14"/>
                <w:szCs w:val="14"/>
              </w:rPr>
              <w:t>47,931,960</w:t>
            </w:r>
          </w:p>
        </w:tc>
        <w:tc>
          <w:tcPr>
            <w:tcW w:w="1043" w:type="dxa"/>
            <w:gridSpan w:val="2"/>
            <w:tcBorders>
              <w:top w:val="nil"/>
              <w:left w:val="nil"/>
              <w:bottom w:val="nil"/>
              <w:right w:val="nil"/>
            </w:tcBorders>
            <w:shd w:val="clear" w:color="auto" w:fill="FFFFFF"/>
            <w:vAlign w:val="bottom"/>
          </w:tcPr>
          <w:p w14:paraId="23C4F9B6" w14:textId="77777777" w:rsidR="00A031A6" w:rsidRDefault="00916FD0">
            <w:pPr>
              <w:jc w:val="right"/>
              <w:rPr>
                <w:color w:val="000000"/>
                <w:sz w:val="14"/>
                <w:szCs w:val="14"/>
              </w:rPr>
            </w:pPr>
            <w:r>
              <w:rPr>
                <w:color w:val="000000"/>
                <w:sz w:val="14"/>
                <w:szCs w:val="14"/>
              </w:rPr>
              <w:t>44,883,806</w:t>
            </w:r>
          </w:p>
        </w:tc>
        <w:tc>
          <w:tcPr>
            <w:tcW w:w="967" w:type="dxa"/>
            <w:gridSpan w:val="2"/>
            <w:tcBorders>
              <w:top w:val="nil"/>
              <w:left w:val="nil"/>
              <w:bottom w:val="nil"/>
              <w:right w:val="nil"/>
            </w:tcBorders>
            <w:shd w:val="clear" w:color="auto" w:fill="FFFFFF"/>
            <w:vAlign w:val="bottom"/>
          </w:tcPr>
          <w:p w14:paraId="56AC8F69" w14:textId="77777777" w:rsidR="00A031A6" w:rsidRDefault="00916FD0">
            <w:pPr>
              <w:jc w:val="right"/>
              <w:rPr>
                <w:color w:val="000000"/>
                <w:sz w:val="14"/>
                <w:szCs w:val="14"/>
              </w:rPr>
            </w:pPr>
            <w:r>
              <w:rPr>
                <w:color w:val="000000"/>
                <w:sz w:val="14"/>
                <w:szCs w:val="14"/>
              </w:rPr>
              <w:t>7,536,535</w:t>
            </w:r>
          </w:p>
        </w:tc>
        <w:tc>
          <w:tcPr>
            <w:tcW w:w="1510" w:type="dxa"/>
            <w:gridSpan w:val="2"/>
            <w:tcBorders>
              <w:top w:val="nil"/>
              <w:left w:val="nil"/>
              <w:bottom w:val="nil"/>
              <w:right w:val="nil"/>
            </w:tcBorders>
            <w:shd w:val="clear" w:color="auto" w:fill="FFFFFF"/>
            <w:vAlign w:val="bottom"/>
          </w:tcPr>
          <w:p w14:paraId="3506963F" w14:textId="77777777" w:rsidR="00A031A6" w:rsidRDefault="00916FD0">
            <w:pPr>
              <w:jc w:val="right"/>
              <w:rPr>
                <w:color w:val="000000"/>
                <w:sz w:val="14"/>
                <w:szCs w:val="14"/>
              </w:rPr>
            </w:pPr>
            <w:r>
              <w:rPr>
                <w:color w:val="000000"/>
                <w:sz w:val="14"/>
                <w:szCs w:val="14"/>
              </w:rPr>
              <w:t>1,476,842</w:t>
            </w:r>
          </w:p>
        </w:tc>
        <w:tc>
          <w:tcPr>
            <w:tcW w:w="1254" w:type="dxa"/>
            <w:gridSpan w:val="2"/>
            <w:tcBorders>
              <w:top w:val="nil"/>
              <w:left w:val="nil"/>
              <w:bottom w:val="nil"/>
              <w:right w:val="nil"/>
            </w:tcBorders>
            <w:shd w:val="clear" w:color="auto" w:fill="FFFFFF"/>
            <w:vAlign w:val="bottom"/>
          </w:tcPr>
          <w:p w14:paraId="58BEC654" w14:textId="77777777" w:rsidR="00A031A6" w:rsidRDefault="00916FD0">
            <w:pPr>
              <w:jc w:val="right"/>
              <w:rPr>
                <w:color w:val="000000"/>
                <w:sz w:val="14"/>
                <w:szCs w:val="14"/>
              </w:rPr>
            </w:pPr>
            <w:r>
              <w:rPr>
                <w:color w:val="000000"/>
                <w:sz w:val="14"/>
                <w:szCs w:val="14"/>
              </w:rPr>
              <w:t>3,011,538</w:t>
            </w:r>
          </w:p>
        </w:tc>
        <w:tc>
          <w:tcPr>
            <w:tcW w:w="995" w:type="dxa"/>
            <w:tcBorders>
              <w:top w:val="nil"/>
              <w:left w:val="nil"/>
              <w:bottom w:val="nil"/>
              <w:right w:val="nil"/>
            </w:tcBorders>
            <w:shd w:val="clear" w:color="auto" w:fill="FFFFFF"/>
            <w:vAlign w:val="bottom"/>
          </w:tcPr>
          <w:p w14:paraId="29CB5D62" w14:textId="77777777" w:rsidR="00A031A6" w:rsidRDefault="00916FD0">
            <w:pPr>
              <w:jc w:val="right"/>
              <w:rPr>
                <w:color w:val="000000"/>
                <w:sz w:val="14"/>
                <w:szCs w:val="14"/>
              </w:rPr>
            </w:pPr>
            <w:r>
              <w:rPr>
                <w:color w:val="000000"/>
                <w:sz w:val="14"/>
                <w:szCs w:val="14"/>
              </w:rPr>
              <w:t>13,291,579</w:t>
            </w:r>
          </w:p>
        </w:tc>
        <w:tc>
          <w:tcPr>
            <w:tcW w:w="986" w:type="dxa"/>
            <w:gridSpan w:val="2"/>
            <w:tcBorders>
              <w:top w:val="nil"/>
              <w:left w:val="nil"/>
              <w:bottom w:val="nil"/>
              <w:right w:val="nil"/>
            </w:tcBorders>
            <w:shd w:val="clear" w:color="auto" w:fill="FFFFFF"/>
            <w:vAlign w:val="bottom"/>
          </w:tcPr>
          <w:p w14:paraId="79CA3C69" w14:textId="77777777" w:rsidR="00A031A6" w:rsidRDefault="00916FD0">
            <w:pPr>
              <w:jc w:val="right"/>
              <w:rPr>
                <w:color w:val="000000"/>
                <w:sz w:val="14"/>
                <w:szCs w:val="14"/>
              </w:rPr>
            </w:pPr>
            <w:r>
              <w:rPr>
                <w:color w:val="000000"/>
                <w:sz w:val="14"/>
                <w:szCs w:val="14"/>
              </w:rPr>
              <w:t>28%</w:t>
            </w:r>
          </w:p>
        </w:tc>
        <w:tc>
          <w:tcPr>
            <w:tcW w:w="1214" w:type="dxa"/>
            <w:gridSpan w:val="2"/>
            <w:tcBorders>
              <w:top w:val="nil"/>
              <w:left w:val="nil"/>
              <w:bottom w:val="nil"/>
              <w:right w:val="nil"/>
            </w:tcBorders>
            <w:shd w:val="clear" w:color="auto" w:fill="FFFFFF"/>
            <w:vAlign w:val="bottom"/>
          </w:tcPr>
          <w:p w14:paraId="5E7C70BE" w14:textId="77777777" w:rsidR="00A031A6" w:rsidRDefault="00916FD0">
            <w:pPr>
              <w:jc w:val="right"/>
              <w:rPr>
                <w:color w:val="000000"/>
                <w:sz w:val="14"/>
                <w:szCs w:val="14"/>
              </w:rPr>
            </w:pPr>
            <w:r>
              <w:rPr>
                <w:color w:val="000000"/>
                <w:sz w:val="14"/>
                <w:szCs w:val="14"/>
              </w:rPr>
              <w:t>34,640,381</w:t>
            </w:r>
          </w:p>
        </w:tc>
        <w:tc>
          <w:tcPr>
            <w:tcW w:w="1216" w:type="dxa"/>
            <w:gridSpan w:val="2"/>
            <w:tcBorders>
              <w:top w:val="nil"/>
              <w:left w:val="nil"/>
              <w:bottom w:val="nil"/>
              <w:right w:val="nil"/>
            </w:tcBorders>
            <w:shd w:val="clear" w:color="auto" w:fill="FFFFFF"/>
            <w:vAlign w:val="bottom"/>
          </w:tcPr>
          <w:p w14:paraId="66FE18BD" w14:textId="77777777" w:rsidR="00A031A6" w:rsidRDefault="00916FD0">
            <w:pPr>
              <w:jc w:val="right"/>
              <w:rPr>
                <w:color w:val="000000"/>
                <w:sz w:val="14"/>
                <w:szCs w:val="14"/>
              </w:rPr>
            </w:pPr>
            <w:r>
              <w:rPr>
                <w:color w:val="000000"/>
                <w:sz w:val="14"/>
                <w:szCs w:val="14"/>
              </w:rPr>
              <w:t>72%</w:t>
            </w:r>
          </w:p>
        </w:tc>
        <w:tc>
          <w:tcPr>
            <w:tcW w:w="988" w:type="dxa"/>
            <w:gridSpan w:val="2"/>
            <w:tcBorders>
              <w:top w:val="nil"/>
              <w:left w:val="nil"/>
              <w:bottom w:val="nil"/>
              <w:right w:val="nil"/>
            </w:tcBorders>
            <w:shd w:val="clear" w:color="auto" w:fill="FFFFFF"/>
            <w:vAlign w:val="bottom"/>
          </w:tcPr>
          <w:p w14:paraId="3D080432" w14:textId="77777777" w:rsidR="00A031A6" w:rsidRDefault="00916FD0">
            <w:pPr>
              <w:jc w:val="right"/>
              <w:rPr>
                <w:color w:val="000000"/>
                <w:sz w:val="14"/>
                <w:szCs w:val="14"/>
              </w:rPr>
            </w:pPr>
            <w:r>
              <w:rPr>
                <w:color w:val="000000"/>
                <w:sz w:val="14"/>
                <w:szCs w:val="14"/>
              </w:rPr>
              <w:t>63%</w:t>
            </w:r>
          </w:p>
        </w:tc>
        <w:tc>
          <w:tcPr>
            <w:tcW w:w="1426" w:type="dxa"/>
            <w:gridSpan w:val="2"/>
            <w:tcBorders>
              <w:top w:val="nil"/>
              <w:left w:val="nil"/>
              <w:bottom w:val="nil"/>
              <w:right w:val="nil"/>
            </w:tcBorders>
            <w:shd w:val="clear" w:color="auto" w:fill="FFFFFF"/>
            <w:vAlign w:val="bottom"/>
          </w:tcPr>
          <w:p w14:paraId="7795BD77" w14:textId="77777777" w:rsidR="00A031A6" w:rsidRDefault="00916FD0">
            <w:pPr>
              <w:jc w:val="right"/>
              <w:rPr>
                <w:color w:val="000000"/>
                <w:sz w:val="14"/>
                <w:szCs w:val="14"/>
              </w:rPr>
            </w:pPr>
            <w:r>
              <w:rPr>
                <w:color w:val="000000"/>
                <w:sz w:val="14"/>
                <w:szCs w:val="14"/>
              </w:rPr>
              <w:t>47,931,960</w:t>
            </w:r>
          </w:p>
        </w:tc>
        <w:tc>
          <w:tcPr>
            <w:tcW w:w="1070" w:type="dxa"/>
            <w:tcBorders>
              <w:top w:val="nil"/>
              <w:left w:val="nil"/>
              <w:bottom w:val="nil"/>
              <w:right w:val="nil"/>
            </w:tcBorders>
            <w:shd w:val="clear" w:color="auto" w:fill="FFFFFF"/>
            <w:vAlign w:val="bottom"/>
          </w:tcPr>
          <w:p w14:paraId="46926D20" w14:textId="77777777" w:rsidR="00A031A6" w:rsidRDefault="00916FD0">
            <w:pPr>
              <w:jc w:val="right"/>
              <w:rPr>
                <w:color w:val="000000"/>
                <w:sz w:val="14"/>
                <w:szCs w:val="14"/>
              </w:rPr>
            </w:pPr>
            <w:r>
              <w:rPr>
                <w:color w:val="000000"/>
                <w:sz w:val="14"/>
                <w:szCs w:val="14"/>
              </w:rPr>
              <w:t>0%</w:t>
            </w:r>
          </w:p>
        </w:tc>
      </w:tr>
      <w:tr w:rsidR="00A031A6" w14:paraId="1CEF7407" w14:textId="77777777">
        <w:trPr>
          <w:trHeight w:val="57"/>
        </w:trPr>
        <w:tc>
          <w:tcPr>
            <w:tcW w:w="1560" w:type="dxa"/>
            <w:gridSpan w:val="2"/>
            <w:tcBorders>
              <w:top w:val="nil"/>
              <w:left w:val="nil"/>
              <w:bottom w:val="nil"/>
              <w:right w:val="nil"/>
            </w:tcBorders>
            <w:vAlign w:val="bottom"/>
          </w:tcPr>
          <w:p w14:paraId="64793848" w14:textId="77777777" w:rsidR="00A031A6" w:rsidRDefault="00A031A6">
            <w:pPr>
              <w:jc w:val="right"/>
              <w:rPr>
                <w:color w:val="000000"/>
                <w:sz w:val="14"/>
                <w:szCs w:val="14"/>
              </w:rPr>
            </w:pPr>
          </w:p>
        </w:tc>
        <w:tc>
          <w:tcPr>
            <w:tcW w:w="1169" w:type="dxa"/>
            <w:tcBorders>
              <w:top w:val="nil"/>
              <w:left w:val="nil"/>
              <w:bottom w:val="nil"/>
              <w:right w:val="nil"/>
            </w:tcBorders>
            <w:vAlign w:val="bottom"/>
          </w:tcPr>
          <w:p w14:paraId="19710D15" w14:textId="77777777" w:rsidR="00A031A6" w:rsidRDefault="00A031A6">
            <w:pPr>
              <w:jc w:val="right"/>
              <w:rPr>
                <w:color w:val="000000"/>
                <w:sz w:val="14"/>
                <w:szCs w:val="14"/>
              </w:rPr>
            </w:pPr>
          </w:p>
        </w:tc>
        <w:tc>
          <w:tcPr>
            <w:tcW w:w="1043" w:type="dxa"/>
            <w:gridSpan w:val="2"/>
            <w:tcBorders>
              <w:top w:val="nil"/>
              <w:left w:val="nil"/>
              <w:bottom w:val="nil"/>
              <w:right w:val="nil"/>
            </w:tcBorders>
            <w:vAlign w:val="bottom"/>
          </w:tcPr>
          <w:p w14:paraId="210F99D3" w14:textId="77777777" w:rsidR="00A031A6" w:rsidRDefault="00A031A6">
            <w:pPr>
              <w:jc w:val="right"/>
              <w:rPr>
                <w:color w:val="000000"/>
                <w:sz w:val="14"/>
                <w:szCs w:val="14"/>
              </w:rPr>
            </w:pPr>
          </w:p>
        </w:tc>
        <w:tc>
          <w:tcPr>
            <w:tcW w:w="967" w:type="dxa"/>
            <w:gridSpan w:val="2"/>
            <w:tcBorders>
              <w:top w:val="nil"/>
              <w:left w:val="nil"/>
              <w:bottom w:val="nil"/>
              <w:right w:val="nil"/>
            </w:tcBorders>
            <w:vAlign w:val="bottom"/>
          </w:tcPr>
          <w:p w14:paraId="6E8CFA28" w14:textId="77777777" w:rsidR="00A031A6" w:rsidRDefault="00A031A6">
            <w:pPr>
              <w:jc w:val="right"/>
              <w:rPr>
                <w:color w:val="000000"/>
                <w:sz w:val="14"/>
                <w:szCs w:val="14"/>
              </w:rPr>
            </w:pPr>
          </w:p>
        </w:tc>
        <w:tc>
          <w:tcPr>
            <w:tcW w:w="1510" w:type="dxa"/>
            <w:gridSpan w:val="2"/>
            <w:tcBorders>
              <w:top w:val="nil"/>
              <w:left w:val="nil"/>
              <w:bottom w:val="nil"/>
              <w:right w:val="nil"/>
            </w:tcBorders>
            <w:vAlign w:val="bottom"/>
          </w:tcPr>
          <w:p w14:paraId="3165CDD0" w14:textId="77777777" w:rsidR="00A031A6" w:rsidRDefault="00A031A6">
            <w:pPr>
              <w:jc w:val="right"/>
              <w:rPr>
                <w:color w:val="000000"/>
                <w:sz w:val="14"/>
                <w:szCs w:val="14"/>
              </w:rPr>
            </w:pPr>
          </w:p>
        </w:tc>
        <w:tc>
          <w:tcPr>
            <w:tcW w:w="1254" w:type="dxa"/>
            <w:gridSpan w:val="2"/>
            <w:tcBorders>
              <w:top w:val="nil"/>
              <w:left w:val="nil"/>
              <w:bottom w:val="nil"/>
              <w:right w:val="nil"/>
            </w:tcBorders>
            <w:vAlign w:val="bottom"/>
          </w:tcPr>
          <w:p w14:paraId="29957304" w14:textId="77777777" w:rsidR="00A031A6" w:rsidRDefault="00A031A6">
            <w:pPr>
              <w:jc w:val="right"/>
              <w:rPr>
                <w:color w:val="000000"/>
                <w:sz w:val="14"/>
                <w:szCs w:val="14"/>
              </w:rPr>
            </w:pPr>
          </w:p>
        </w:tc>
        <w:tc>
          <w:tcPr>
            <w:tcW w:w="995" w:type="dxa"/>
            <w:tcBorders>
              <w:top w:val="nil"/>
              <w:left w:val="nil"/>
              <w:bottom w:val="nil"/>
              <w:right w:val="nil"/>
            </w:tcBorders>
            <w:vAlign w:val="bottom"/>
          </w:tcPr>
          <w:p w14:paraId="656A1ABF" w14:textId="77777777" w:rsidR="00A031A6" w:rsidRDefault="00A031A6">
            <w:pPr>
              <w:jc w:val="right"/>
              <w:rPr>
                <w:color w:val="000000"/>
                <w:sz w:val="14"/>
                <w:szCs w:val="14"/>
              </w:rPr>
            </w:pPr>
          </w:p>
        </w:tc>
        <w:tc>
          <w:tcPr>
            <w:tcW w:w="986" w:type="dxa"/>
            <w:gridSpan w:val="2"/>
            <w:tcBorders>
              <w:top w:val="nil"/>
              <w:left w:val="nil"/>
              <w:bottom w:val="nil"/>
              <w:right w:val="nil"/>
            </w:tcBorders>
            <w:vAlign w:val="bottom"/>
          </w:tcPr>
          <w:p w14:paraId="3290F75E" w14:textId="77777777" w:rsidR="00A031A6" w:rsidRDefault="00A031A6">
            <w:pPr>
              <w:jc w:val="right"/>
              <w:rPr>
                <w:color w:val="000000"/>
                <w:sz w:val="14"/>
                <w:szCs w:val="14"/>
              </w:rPr>
            </w:pPr>
          </w:p>
        </w:tc>
        <w:tc>
          <w:tcPr>
            <w:tcW w:w="1214" w:type="dxa"/>
            <w:gridSpan w:val="2"/>
            <w:tcBorders>
              <w:top w:val="nil"/>
              <w:left w:val="nil"/>
              <w:bottom w:val="nil"/>
              <w:right w:val="nil"/>
            </w:tcBorders>
            <w:vAlign w:val="bottom"/>
          </w:tcPr>
          <w:p w14:paraId="7E6E8CCA" w14:textId="77777777" w:rsidR="00A031A6" w:rsidRDefault="00A031A6">
            <w:pPr>
              <w:jc w:val="right"/>
              <w:rPr>
                <w:color w:val="000000"/>
                <w:sz w:val="14"/>
                <w:szCs w:val="14"/>
              </w:rPr>
            </w:pPr>
          </w:p>
        </w:tc>
        <w:tc>
          <w:tcPr>
            <w:tcW w:w="1216" w:type="dxa"/>
            <w:gridSpan w:val="2"/>
            <w:tcBorders>
              <w:top w:val="nil"/>
              <w:left w:val="nil"/>
              <w:bottom w:val="nil"/>
              <w:right w:val="nil"/>
            </w:tcBorders>
            <w:vAlign w:val="bottom"/>
          </w:tcPr>
          <w:p w14:paraId="721C11B3" w14:textId="77777777" w:rsidR="00A031A6" w:rsidRDefault="00A031A6">
            <w:pPr>
              <w:jc w:val="right"/>
              <w:rPr>
                <w:color w:val="000000"/>
                <w:sz w:val="14"/>
                <w:szCs w:val="14"/>
              </w:rPr>
            </w:pPr>
          </w:p>
        </w:tc>
        <w:tc>
          <w:tcPr>
            <w:tcW w:w="988" w:type="dxa"/>
            <w:gridSpan w:val="2"/>
            <w:tcBorders>
              <w:top w:val="nil"/>
              <w:left w:val="nil"/>
              <w:bottom w:val="nil"/>
              <w:right w:val="nil"/>
            </w:tcBorders>
            <w:vAlign w:val="bottom"/>
          </w:tcPr>
          <w:p w14:paraId="39DFE4A8" w14:textId="77777777" w:rsidR="00A031A6" w:rsidRDefault="00A031A6">
            <w:pPr>
              <w:jc w:val="right"/>
              <w:rPr>
                <w:color w:val="000000"/>
                <w:sz w:val="14"/>
                <w:szCs w:val="14"/>
              </w:rPr>
            </w:pPr>
          </w:p>
        </w:tc>
        <w:tc>
          <w:tcPr>
            <w:tcW w:w="1426" w:type="dxa"/>
            <w:gridSpan w:val="2"/>
            <w:tcBorders>
              <w:top w:val="nil"/>
              <w:left w:val="nil"/>
              <w:bottom w:val="nil"/>
              <w:right w:val="nil"/>
            </w:tcBorders>
            <w:vAlign w:val="bottom"/>
          </w:tcPr>
          <w:p w14:paraId="5D53D8C5" w14:textId="77777777" w:rsidR="00A031A6" w:rsidRDefault="00A031A6">
            <w:pPr>
              <w:jc w:val="right"/>
              <w:rPr>
                <w:color w:val="000000"/>
                <w:sz w:val="14"/>
                <w:szCs w:val="14"/>
              </w:rPr>
            </w:pPr>
          </w:p>
        </w:tc>
        <w:tc>
          <w:tcPr>
            <w:tcW w:w="1070" w:type="dxa"/>
            <w:tcBorders>
              <w:top w:val="nil"/>
              <w:left w:val="nil"/>
              <w:bottom w:val="nil"/>
              <w:right w:val="nil"/>
            </w:tcBorders>
            <w:vAlign w:val="bottom"/>
          </w:tcPr>
          <w:p w14:paraId="74AFF24D" w14:textId="77777777" w:rsidR="00A031A6" w:rsidRDefault="00A031A6">
            <w:pPr>
              <w:jc w:val="right"/>
              <w:rPr>
                <w:color w:val="000000"/>
                <w:sz w:val="14"/>
                <w:szCs w:val="14"/>
              </w:rPr>
            </w:pPr>
          </w:p>
        </w:tc>
      </w:tr>
      <w:tr w:rsidR="00A031A6" w14:paraId="5CF9963D" w14:textId="77777777">
        <w:trPr>
          <w:trHeight w:val="57"/>
        </w:trPr>
        <w:tc>
          <w:tcPr>
            <w:tcW w:w="1552" w:type="dxa"/>
            <w:tcBorders>
              <w:top w:val="nil"/>
              <w:left w:val="nil"/>
              <w:bottom w:val="nil"/>
              <w:right w:val="nil"/>
            </w:tcBorders>
            <w:shd w:val="clear" w:color="auto" w:fill="808080"/>
            <w:vAlign w:val="bottom"/>
          </w:tcPr>
          <w:p w14:paraId="2942F45B" w14:textId="77777777" w:rsidR="00A031A6" w:rsidRDefault="00916FD0">
            <w:pPr>
              <w:rPr>
                <w:b/>
                <w:color w:val="FFFFFF"/>
                <w:sz w:val="14"/>
                <w:szCs w:val="14"/>
              </w:rPr>
            </w:pPr>
            <w:r>
              <w:rPr>
                <w:b/>
                <w:color w:val="FFFFFF"/>
                <w:sz w:val="14"/>
                <w:szCs w:val="14"/>
              </w:rPr>
              <w:t>Lighting CFL</w:t>
            </w:r>
          </w:p>
        </w:tc>
        <w:tc>
          <w:tcPr>
            <w:tcW w:w="1391" w:type="dxa"/>
            <w:gridSpan w:val="3"/>
            <w:tcBorders>
              <w:top w:val="nil"/>
              <w:left w:val="nil"/>
              <w:bottom w:val="nil"/>
              <w:right w:val="nil"/>
            </w:tcBorders>
            <w:shd w:val="clear" w:color="auto" w:fill="808080"/>
            <w:vAlign w:val="bottom"/>
          </w:tcPr>
          <w:p w14:paraId="08A5094D" w14:textId="77777777" w:rsidR="00A031A6" w:rsidRDefault="00916FD0">
            <w:pPr>
              <w:ind w:left="348"/>
              <w:rPr>
                <w:b/>
                <w:color w:val="FFFFFF"/>
                <w:sz w:val="14"/>
                <w:szCs w:val="14"/>
              </w:rPr>
            </w:pPr>
            <w:r>
              <w:rPr>
                <w:b/>
                <w:color w:val="FFFFFF"/>
                <w:sz w:val="14"/>
                <w:szCs w:val="14"/>
              </w:rPr>
              <w:t>Stock (t)</w:t>
            </w:r>
          </w:p>
        </w:tc>
        <w:tc>
          <w:tcPr>
            <w:tcW w:w="1368" w:type="dxa"/>
            <w:gridSpan w:val="2"/>
            <w:tcBorders>
              <w:top w:val="nil"/>
              <w:left w:val="nil"/>
              <w:bottom w:val="nil"/>
              <w:right w:val="nil"/>
            </w:tcBorders>
            <w:shd w:val="clear" w:color="auto" w:fill="808080"/>
            <w:vAlign w:val="bottom"/>
          </w:tcPr>
          <w:p w14:paraId="3E6271F7" w14:textId="77777777" w:rsidR="00A031A6" w:rsidRDefault="00916FD0">
            <w:pPr>
              <w:rPr>
                <w:b/>
                <w:color w:val="FFFFFF"/>
                <w:sz w:val="14"/>
                <w:szCs w:val="14"/>
              </w:rPr>
            </w:pPr>
            <w:r>
              <w:rPr>
                <w:b/>
                <w:color w:val="FFFFFF"/>
                <w:sz w:val="14"/>
                <w:szCs w:val="14"/>
              </w:rPr>
              <w:t>Stock(t-1)</w:t>
            </w:r>
          </w:p>
        </w:tc>
        <w:tc>
          <w:tcPr>
            <w:tcW w:w="1371" w:type="dxa"/>
            <w:gridSpan w:val="2"/>
            <w:tcBorders>
              <w:top w:val="nil"/>
              <w:left w:val="nil"/>
              <w:bottom w:val="nil"/>
              <w:right w:val="nil"/>
            </w:tcBorders>
            <w:shd w:val="clear" w:color="auto" w:fill="808080"/>
            <w:vAlign w:val="bottom"/>
          </w:tcPr>
          <w:p w14:paraId="61BAE3E6" w14:textId="77777777" w:rsidR="00A031A6" w:rsidRDefault="00916FD0">
            <w:pPr>
              <w:rPr>
                <w:b/>
                <w:color w:val="FFFFFF"/>
                <w:sz w:val="14"/>
                <w:szCs w:val="14"/>
              </w:rPr>
            </w:pPr>
            <w:r>
              <w:rPr>
                <w:b/>
                <w:color w:val="FFFFFF"/>
                <w:sz w:val="14"/>
                <w:szCs w:val="14"/>
              </w:rPr>
              <w:t>Sales(t)</w:t>
            </w:r>
          </w:p>
        </w:tc>
        <w:tc>
          <w:tcPr>
            <w:tcW w:w="1510" w:type="dxa"/>
            <w:gridSpan w:val="2"/>
            <w:tcBorders>
              <w:top w:val="nil"/>
              <w:left w:val="nil"/>
              <w:bottom w:val="nil"/>
              <w:right w:val="nil"/>
            </w:tcBorders>
            <w:shd w:val="clear" w:color="auto" w:fill="808080"/>
            <w:vAlign w:val="bottom"/>
          </w:tcPr>
          <w:p w14:paraId="59C5E038" w14:textId="77777777" w:rsidR="00A031A6" w:rsidRDefault="00916FD0">
            <w:pPr>
              <w:rPr>
                <w:b/>
                <w:color w:val="FFFFFF"/>
                <w:sz w:val="14"/>
                <w:szCs w:val="14"/>
              </w:rPr>
            </w:pPr>
            <w:r>
              <w:rPr>
                <w:b/>
                <w:color w:val="FFFFFF"/>
                <w:sz w:val="14"/>
                <w:szCs w:val="14"/>
              </w:rPr>
              <w:t>Retired Stock Pre EE</w:t>
            </w:r>
          </w:p>
        </w:tc>
        <w:tc>
          <w:tcPr>
            <w:tcW w:w="1362" w:type="dxa"/>
            <w:gridSpan w:val="3"/>
            <w:tcBorders>
              <w:top w:val="nil"/>
              <w:left w:val="nil"/>
              <w:bottom w:val="nil"/>
              <w:right w:val="nil"/>
            </w:tcBorders>
            <w:shd w:val="clear" w:color="auto" w:fill="808080"/>
            <w:vAlign w:val="bottom"/>
          </w:tcPr>
          <w:p w14:paraId="1737B33E" w14:textId="77777777" w:rsidR="00A031A6" w:rsidRDefault="00916FD0">
            <w:pPr>
              <w:rPr>
                <w:b/>
                <w:color w:val="FFFFFF"/>
                <w:sz w:val="14"/>
                <w:szCs w:val="14"/>
              </w:rPr>
            </w:pPr>
            <w:r>
              <w:rPr>
                <w:b/>
                <w:color w:val="FFFFFF"/>
                <w:sz w:val="14"/>
                <w:szCs w:val="14"/>
              </w:rPr>
              <w:t>Retired Stock EE</w:t>
            </w:r>
          </w:p>
        </w:tc>
        <w:tc>
          <w:tcPr>
            <w:tcW w:w="1371" w:type="dxa"/>
            <w:gridSpan w:val="2"/>
            <w:tcBorders>
              <w:top w:val="nil"/>
              <w:left w:val="nil"/>
              <w:bottom w:val="nil"/>
              <w:right w:val="nil"/>
            </w:tcBorders>
            <w:shd w:val="clear" w:color="auto" w:fill="808080"/>
            <w:vAlign w:val="bottom"/>
          </w:tcPr>
          <w:p w14:paraId="4EE3FE68" w14:textId="77777777" w:rsidR="00A031A6" w:rsidRDefault="00916FD0">
            <w:pPr>
              <w:rPr>
                <w:b/>
                <w:color w:val="FFFFFF"/>
                <w:sz w:val="14"/>
                <w:szCs w:val="14"/>
              </w:rPr>
            </w:pPr>
            <w:r>
              <w:rPr>
                <w:b/>
                <w:color w:val="FFFFFF"/>
                <w:sz w:val="14"/>
                <w:szCs w:val="14"/>
              </w:rPr>
              <w:t>Existing</w:t>
            </w:r>
          </w:p>
        </w:tc>
        <w:tc>
          <w:tcPr>
            <w:tcW w:w="1372" w:type="dxa"/>
            <w:gridSpan w:val="2"/>
            <w:tcBorders>
              <w:top w:val="nil"/>
              <w:left w:val="nil"/>
              <w:bottom w:val="nil"/>
              <w:right w:val="nil"/>
            </w:tcBorders>
            <w:shd w:val="clear" w:color="auto" w:fill="808080"/>
            <w:vAlign w:val="bottom"/>
          </w:tcPr>
          <w:p w14:paraId="1BA3AE0E" w14:textId="77777777" w:rsidR="00A031A6" w:rsidRDefault="00916FD0">
            <w:pPr>
              <w:rPr>
                <w:b/>
                <w:color w:val="FFFFFF"/>
                <w:sz w:val="14"/>
                <w:szCs w:val="14"/>
              </w:rPr>
            </w:pPr>
            <w:r>
              <w:rPr>
                <w:b/>
                <w:color w:val="FFFFFF"/>
                <w:sz w:val="14"/>
                <w:szCs w:val="14"/>
              </w:rPr>
              <w:t>Existing</w:t>
            </w:r>
          </w:p>
        </w:tc>
        <w:tc>
          <w:tcPr>
            <w:tcW w:w="1373" w:type="dxa"/>
            <w:gridSpan w:val="2"/>
            <w:tcBorders>
              <w:top w:val="nil"/>
              <w:left w:val="nil"/>
              <w:bottom w:val="nil"/>
              <w:right w:val="nil"/>
            </w:tcBorders>
            <w:shd w:val="clear" w:color="auto" w:fill="808080"/>
            <w:vAlign w:val="bottom"/>
          </w:tcPr>
          <w:p w14:paraId="7159137E" w14:textId="77777777" w:rsidR="00A031A6" w:rsidRDefault="00916FD0">
            <w:pPr>
              <w:rPr>
                <w:b/>
                <w:color w:val="FFFFFF"/>
                <w:sz w:val="14"/>
                <w:szCs w:val="14"/>
              </w:rPr>
            </w:pPr>
            <w:r>
              <w:rPr>
                <w:b/>
                <w:color w:val="FFFFFF"/>
                <w:sz w:val="14"/>
                <w:szCs w:val="14"/>
              </w:rPr>
              <w:t>Energy Efficient</w:t>
            </w:r>
          </w:p>
        </w:tc>
        <w:tc>
          <w:tcPr>
            <w:tcW w:w="1373" w:type="dxa"/>
            <w:gridSpan w:val="2"/>
            <w:tcBorders>
              <w:top w:val="nil"/>
              <w:left w:val="nil"/>
              <w:bottom w:val="nil"/>
              <w:right w:val="nil"/>
            </w:tcBorders>
            <w:shd w:val="clear" w:color="auto" w:fill="808080"/>
            <w:vAlign w:val="bottom"/>
          </w:tcPr>
          <w:p w14:paraId="014DC2C3" w14:textId="77777777" w:rsidR="00A031A6" w:rsidRDefault="00916FD0">
            <w:pPr>
              <w:rPr>
                <w:b/>
                <w:color w:val="FFFFFF"/>
                <w:sz w:val="14"/>
                <w:szCs w:val="14"/>
              </w:rPr>
            </w:pPr>
            <w:r>
              <w:rPr>
                <w:b/>
                <w:color w:val="FFFFFF"/>
                <w:sz w:val="14"/>
                <w:szCs w:val="14"/>
              </w:rPr>
              <w:t>Energy Efficient</w:t>
            </w:r>
          </w:p>
        </w:tc>
        <w:tc>
          <w:tcPr>
            <w:tcW w:w="1355" w:type="dxa"/>
            <w:gridSpan w:val="2"/>
            <w:tcBorders>
              <w:top w:val="nil"/>
              <w:left w:val="nil"/>
              <w:bottom w:val="nil"/>
              <w:right w:val="nil"/>
            </w:tcBorders>
            <w:shd w:val="clear" w:color="auto" w:fill="808080"/>
            <w:vAlign w:val="bottom"/>
          </w:tcPr>
          <w:p w14:paraId="1F355B3B" w14:textId="77777777" w:rsidR="00A031A6" w:rsidRDefault="00916FD0">
            <w:pPr>
              <w:rPr>
                <w:b/>
                <w:color w:val="FFFFFF"/>
                <w:sz w:val="14"/>
                <w:szCs w:val="14"/>
              </w:rPr>
            </w:pPr>
            <w:r>
              <w:rPr>
                <w:b/>
                <w:color w:val="FFFFFF"/>
                <w:sz w:val="14"/>
                <w:szCs w:val="14"/>
              </w:rPr>
              <w:t>Saturation</w:t>
            </w:r>
          </w:p>
        </w:tc>
      </w:tr>
      <w:tr w:rsidR="00A031A6" w14:paraId="3D1A7B80" w14:textId="77777777">
        <w:trPr>
          <w:trHeight w:val="57"/>
        </w:trPr>
        <w:tc>
          <w:tcPr>
            <w:tcW w:w="1552" w:type="dxa"/>
            <w:tcBorders>
              <w:top w:val="nil"/>
              <w:left w:val="nil"/>
              <w:bottom w:val="nil"/>
              <w:right w:val="nil"/>
            </w:tcBorders>
            <w:shd w:val="clear" w:color="auto" w:fill="FFFFFF"/>
            <w:vAlign w:val="bottom"/>
          </w:tcPr>
          <w:p w14:paraId="6E058327" w14:textId="77777777" w:rsidR="00A031A6" w:rsidRDefault="00916FD0">
            <w:pPr>
              <w:ind w:left="321" w:right="-30"/>
              <w:jc w:val="right"/>
              <w:rPr>
                <w:color w:val="000000"/>
                <w:sz w:val="14"/>
                <w:szCs w:val="14"/>
              </w:rPr>
            </w:pPr>
            <w:r>
              <w:rPr>
                <w:color w:val="000000"/>
                <w:sz w:val="14"/>
                <w:szCs w:val="14"/>
              </w:rPr>
              <w:t>2018</w:t>
            </w:r>
          </w:p>
        </w:tc>
        <w:tc>
          <w:tcPr>
            <w:tcW w:w="1391" w:type="dxa"/>
            <w:gridSpan w:val="3"/>
            <w:tcBorders>
              <w:top w:val="nil"/>
              <w:left w:val="nil"/>
              <w:bottom w:val="nil"/>
              <w:right w:val="nil"/>
            </w:tcBorders>
            <w:shd w:val="clear" w:color="auto" w:fill="FFFFFF"/>
            <w:vAlign w:val="bottom"/>
          </w:tcPr>
          <w:p w14:paraId="6485615B" w14:textId="77777777" w:rsidR="00A031A6" w:rsidRDefault="00916FD0">
            <w:pPr>
              <w:ind w:left="348" w:right="118"/>
              <w:jc w:val="right"/>
              <w:rPr>
                <w:color w:val="000000"/>
                <w:sz w:val="14"/>
                <w:szCs w:val="14"/>
              </w:rPr>
            </w:pPr>
            <w:r>
              <w:rPr>
                <w:color w:val="000000"/>
                <w:sz w:val="14"/>
                <w:szCs w:val="14"/>
              </w:rPr>
              <w:t>339,725,365</w:t>
            </w:r>
          </w:p>
        </w:tc>
        <w:tc>
          <w:tcPr>
            <w:tcW w:w="1368" w:type="dxa"/>
            <w:gridSpan w:val="2"/>
            <w:tcBorders>
              <w:top w:val="nil"/>
              <w:left w:val="nil"/>
              <w:bottom w:val="nil"/>
              <w:right w:val="nil"/>
            </w:tcBorders>
            <w:shd w:val="clear" w:color="auto" w:fill="FFFFFF"/>
            <w:vAlign w:val="bottom"/>
          </w:tcPr>
          <w:p w14:paraId="6BF4D95D" w14:textId="77777777" w:rsidR="00A031A6" w:rsidRDefault="00916FD0">
            <w:pPr>
              <w:rPr>
                <w:color w:val="000000"/>
                <w:sz w:val="14"/>
                <w:szCs w:val="14"/>
              </w:rPr>
            </w:pPr>
            <w:r>
              <w:rPr>
                <w:color w:val="000000"/>
                <w:sz w:val="14"/>
                <w:szCs w:val="14"/>
              </w:rPr>
              <w:t> </w:t>
            </w:r>
          </w:p>
        </w:tc>
        <w:tc>
          <w:tcPr>
            <w:tcW w:w="1371" w:type="dxa"/>
            <w:gridSpan w:val="2"/>
            <w:tcBorders>
              <w:top w:val="nil"/>
              <w:left w:val="nil"/>
              <w:bottom w:val="nil"/>
              <w:right w:val="nil"/>
            </w:tcBorders>
            <w:shd w:val="clear" w:color="auto" w:fill="FFFFFF"/>
            <w:vAlign w:val="bottom"/>
          </w:tcPr>
          <w:p w14:paraId="2B43C7E9" w14:textId="77777777" w:rsidR="00A031A6" w:rsidRDefault="00916FD0">
            <w:pPr>
              <w:rPr>
                <w:color w:val="000000"/>
                <w:sz w:val="14"/>
                <w:szCs w:val="14"/>
              </w:rPr>
            </w:pPr>
            <w:r>
              <w:rPr>
                <w:color w:val="000000"/>
                <w:sz w:val="14"/>
                <w:szCs w:val="14"/>
              </w:rPr>
              <w:t> </w:t>
            </w:r>
          </w:p>
        </w:tc>
        <w:tc>
          <w:tcPr>
            <w:tcW w:w="1510" w:type="dxa"/>
            <w:gridSpan w:val="2"/>
            <w:tcBorders>
              <w:top w:val="nil"/>
              <w:left w:val="nil"/>
              <w:bottom w:val="nil"/>
              <w:right w:val="nil"/>
            </w:tcBorders>
            <w:shd w:val="clear" w:color="auto" w:fill="FFFFFF"/>
            <w:vAlign w:val="bottom"/>
          </w:tcPr>
          <w:p w14:paraId="62590AB0" w14:textId="77777777" w:rsidR="00A031A6" w:rsidRDefault="00916FD0">
            <w:pPr>
              <w:jc w:val="right"/>
              <w:rPr>
                <w:color w:val="000000"/>
                <w:sz w:val="14"/>
                <w:szCs w:val="14"/>
              </w:rPr>
            </w:pPr>
            <w:r>
              <w:rPr>
                <w:color w:val="000000"/>
                <w:sz w:val="14"/>
                <w:szCs w:val="14"/>
              </w:rPr>
              <w:t>0</w:t>
            </w:r>
          </w:p>
        </w:tc>
        <w:tc>
          <w:tcPr>
            <w:tcW w:w="1362" w:type="dxa"/>
            <w:gridSpan w:val="3"/>
            <w:tcBorders>
              <w:top w:val="nil"/>
              <w:left w:val="nil"/>
              <w:bottom w:val="nil"/>
              <w:right w:val="nil"/>
            </w:tcBorders>
            <w:shd w:val="clear" w:color="auto" w:fill="FFFFFF"/>
            <w:vAlign w:val="bottom"/>
          </w:tcPr>
          <w:p w14:paraId="0CFBE200" w14:textId="77777777"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14:paraId="3619C83B" w14:textId="77777777" w:rsidR="00A031A6" w:rsidRDefault="00916FD0">
            <w:pPr>
              <w:jc w:val="right"/>
              <w:rPr>
                <w:color w:val="000000"/>
                <w:sz w:val="14"/>
                <w:szCs w:val="14"/>
              </w:rPr>
            </w:pPr>
            <w:r>
              <w:rPr>
                <w:color w:val="000000"/>
                <w:sz w:val="14"/>
                <w:szCs w:val="14"/>
              </w:rPr>
              <w:t>339,725,365</w:t>
            </w:r>
          </w:p>
        </w:tc>
        <w:tc>
          <w:tcPr>
            <w:tcW w:w="1372" w:type="dxa"/>
            <w:gridSpan w:val="2"/>
            <w:tcBorders>
              <w:top w:val="nil"/>
              <w:left w:val="nil"/>
              <w:bottom w:val="nil"/>
              <w:right w:val="nil"/>
            </w:tcBorders>
            <w:shd w:val="clear" w:color="auto" w:fill="FFFFFF"/>
            <w:vAlign w:val="bottom"/>
          </w:tcPr>
          <w:p w14:paraId="16235C0C" w14:textId="77777777"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14:paraId="658EFF51" w14:textId="77777777"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14:paraId="39E5A0CA" w14:textId="77777777"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14:paraId="39564178" w14:textId="77777777" w:rsidR="00A031A6" w:rsidRDefault="00916FD0">
            <w:pPr>
              <w:jc w:val="right"/>
              <w:rPr>
                <w:color w:val="000000"/>
                <w:sz w:val="14"/>
                <w:szCs w:val="14"/>
              </w:rPr>
            </w:pPr>
            <w:r>
              <w:rPr>
                <w:color w:val="000000"/>
                <w:sz w:val="14"/>
                <w:szCs w:val="14"/>
              </w:rPr>
              <w:t>100%</w:t>
            </w:r>
          </w:p>
        </w:tc>
      </w:tr>
      <w:tr w:rsidR="00A031A6" w14:paraId="26BB9317" w14:textId="77777777">
        <w:trPr>
          <w:trHeight w:val="57"/>
        </w:trPr>
        <w:tc>
          <w:tcPr>
            <w:tcW w:w="1552" w:type="dxa"/>
            <w:tcBorders>
              <w:top w:val="nil"/>
              <w:left w:val="nil"/>
              <w:bottom w:val="nil"/>
              <w:right w:val="nil"/>
            </w:tcBorders>
            <w:shd w:val="clear" w:color="auto" w:fill="FFFFFF"/>
            <w:vAlign w:val="bottom"/>
          </w:tcPr>
          <w:p w14:paraId="3C00AE59" w14:textId="77777777" w:rsidR="00A031A6" w:rsidRDefault="00916FD0">
            <w:pPr>
              <w:ind w:left="321" w:right="-30"/>
              <w:jc w:val="right"/>
              <w:rPr>
                <w:color w:val="000000"/>
                <w:sz w:val="14"/>
                <w:szCs w:val="14"/>
              </w:rPr>
            </w:pPr>
            <w:r>
              <w:rPr>
                <w:color w:val="000000"/>
                <w:sz w:val="14"/>
                <w:szCs w:val="14"/>
              </w:rPr>
              <w:t>2019</w:t>
            </w:r>
          </w:p>
        </w:tc>
        <w:tc>
          <w:tcPr>
            <w:tcW w:w="1391" w:type="dxa"/>
            <w:gridSpan w:val="3"/>
            <w:tcBorders>
              <w:top w:val="nil"/>
              <w:left w:val="nil"/>
              <w:bottom w:val="nil"/>
              <w:right w:val="nil"/>
            </w:tcBorders>
            <w:shd w:val="clear" w:color="auto" w:fill="FFFFFF"/>
            <w:vAlign w:val="bottom"/>
          </w:tcPr>
          <w:p w14:paraId="012D65CD" w14:textId="77777777" w:rsidR="00A031A6" w:rsidRDefault="00916FD0">
            <w:pPr>
              <w:ind w:left="348" w:right="118"/>
              <w:jc w:val="right"/>
              <w:rPr>
                <w:color w:val="000000"/>
                <w:sz w:val="14"/>
                <w:szCs w:val="14"/>
              </w:rPr>
            </w:pPr>
            <w:r>
              <w:rPr>
                <w:color w:val="000000"/>
                <w:sz w:val="14"/>
                <w:szCs w:val="14"/>
              </w:rPr>
              <w:t>372,118,248</w:t>
            </w:r>
          </w:p>
        </w:tc>
        <w:tc>
          <w:tcPr>
            <w:tcW w:w="1368" w:type="dxa"/>
            <w:gridSpan w:val="2"/>
            <w:tcBorders>
              <w:top w:val="nil"/>
              <w:left w:val="nil"/>
              <w:bottom w:val="nil"/>
              <w:right w:val="nil"/>
            </w:tcBorders>
            <w:shd w:val="clear" w:color="auto" w:fill="FFFFFF"/>
            <w:vAlign w:val="bottom"/>
          </w:tcPr>
          <w:p w14:paraId="45A7184E" w14:textId="77777777" w:rsidR="00A031A6" w:rsidRDefault="00916FD0">
            <w:pPr>
              <w:jc w:val="right"/>
              <w:rPr>
                <w:color w:val="000000"/>
                <w:sz w:val="14"/>
                <w:szCs w:val="14"/>
              </w:rPr>
            </w:pPr>
            <w:r>
              <w:rPr>
                <w:color w:val="000000"/>
                <w:sz w:val="14"/>
                <w:szCs w:val="14"/>
              </w:rPr>
              <w:t>339,725,365</w:t>
            </w:r>
          </w:p>
        </w:tc>
        <w:tc>
          <w:tcPr>
            <w:tcW w:w="1371" w:type="dxa"/>
            <w:gridSpan w:val="2"/>
            <w:tcBorders>
              <w:top w:val="nil"/>
              <w:left w:val="nil"/>
              <w:bottom w:val="nil"/>
              <w:right w:val="nil"/>
            </w:tcBorders>
            <w:shd w:val="clear" w:color="auto" w:fill="FFFFFF"/>
            <w:vAlign w:val="bottom"/>
          </w:tcPr>
          <w:p w14:paraId="365C2FF8" w14:textId="77777777" w:rsidR="00A031A6" w:rsidRDefault="00916FD0">
            <w:pPr>
              <w:jc w:val="right"/>
              <w:rPr>
                <w:color w:val="000000"/>
                <w:sz w:val="14"/>
                <w:szCs w:val="14"/>
              </w:rPr>
            </w:pPr>
            <w:r>
              <w:rPr>
                <w:color w:val="000000"/>
                <w:sz w:val="14"/>
                <w:szCs w:val="14"/>
              </w:rPr>
              <w:t>141,105,000</w:t>
            </w:r>
          </w:p>
        </w:tc>
        <w:tc>
          <w:tcPr>
            <w:tcW w:w="1510" w:type="dxa"/>
            <w:gridSpan w:val="2"/>
            <w:tcBorders>
              <w:top w:val="nil"/>
              <w:left w:val="nil"/>
              <w:bottom w:val="nil"/>
              <w:right w:val="nil"/>
            </w:tcBorders>
            <w:shd w:val="clear" w:color="auto" w:fill="FFFFFF"/>
            <w:vAlign w:val="bottom"/>
          </w:tcPr>
          <w:p w14:paraId="09A914EA" w14:textId="77777777" w:rsidR="00A031A6" w:rsidRDefault="00916FD0">
            <w:pPr>
              <w:jc w:val="right"/>
              <w:rPr>
                <w:color w:val="000000"/>
                <w:sz w:val="14"/>
                <w:szCs w:val="14"/>
              </w:rPr>
            </w:pPr>
            <w:r>
              <w:rPr>
                <w:color w:val="000000"/>
                <w:sz w:val="14"/>
                <w:szCs w:val="14"/>
              </w:rPr>
              <w:t>108,712,117</w:t>
            </w:r>
          </w:p>
        </w:tc>
        <w:tc>
          <w:tcPr>
            <w:tcW w:w="1362" w:type="dxa"/>
            <w:gridSpan w:val="3"/>
            <w:tcBorders>
              <w:top w:val="nil"/>
              <w:left w:val="nil"/>
              <w:bottom w:val="nil"/>
              <w:right w:val="nil"/>
            </w:tcBorders>
            <w:shd w:val="clear" w:color="auto" w:fill="FFFFFF"/>
            <w:vAlign w:val="bottom"/>
          </w:tcPr>
          <w:p w14:paraId="369403FD" w14:textId="77777777"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14:paraId="6769D67A" w14:textId="77777777" w:rsidR="00A031A6" w:rsidRDefault="00916FD0">
            <w:pPr>
              <w:jc w:val="right"/>
              <w:rPr>
                <w:color w:val="000000"/>
                <w:sz w:val="14"/>
                <w:szCs w:val="14"/>
              </w:rPr>
            </w:pPr>
            <w:r>
              <w:rPr>
                <w:color w:val="000000"/>
                <w:sz w:val="14"/>
                <w:szCs w:val="14"/>
              </w:rPr>
              <w:t>372,118,248</w:t>
            </w:r>
          </w:p>
        </w:tc>
        <w:tc>
          <w:tcPr>
            <w:tcW w:w="1372" w:type="dxa"/>
            <w:gridSpan w:val="2"/>
            <w:tcBorders>
              <w:top w:val="nil"/>
              <w:left w:val="nil"/>
              <w:bottom w:val="nil"/>
              <w:right w:val="nil"/>
            </w:tcBorders>
            <w:shd w:val="clear" w:color="auto" w:fill="FFFFFF"/>
            <w:vAlign w:val="bottom"/>
          </w:tcPr>
          <w:p w14:paraId="6255F0CB" w14:textId="77777777"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14:paraId="160379DC" w14:textId="77777777"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14:paraId="1E66A5CB" w14:textId="77777777"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14:paraId="62F3316A" w14:textId="77777777" w:rsidR="00A031A6" w:rsidRDefault="00916FD0">
            <w:pPr>
              <w:jc w:val="right"/>
              <w:rPr>
                <w:color w:val="000000"/>
                <w:sz w:val="14"/>
                <w:szCs w:val="14"/>
              </w:rPr>
            </w:pPr>
            <w:r>
              <w:rPr>
                <w:color w:val="000000"/>
                <w:sz w:val="14"/>
                <w:szCs w:val="14"/>
              </w:rPr>
              <w:t>108%</w:t>
            </w:r>
          </w:p>
        </w:tc>
      </w:tr>
      <w:tr w:rsidR="00A031A6" w14:paraId="662DC544" w14:textId="77777777">
        <w:trPr>
          <w:trHeight w:val="57"/>
        </w:trPr>
        <w:tc>
          <w:tcPr>
            <w:tcW w:w="1552" w:type="dxa"/>
            <w:tcBorders>
              <w:top w:val="nil"/>
              <w:left w:val="nil"/>
              <w:bottom w:val="nil"/>
              <w:right w:val="nil"/>
            </w:tcBorders>
            <w:shd w:val="clear" w:color="auto" w:fill="FFFFFF"/>
            <w:vAlign w:val="bottom"/>
          </w:tcPr>
          <w:p w14:paraId="05069C32" w14:textId="77777777" w:rsidR="00A031A6" w:rsidRDefault="00916FD0">
            <w:pPr>
              <w:ind w:left="321" w:right="-30"/>
              <w:jc w:val="right"/>
              <w:rPr>
                <w:color w:val="000000"/>
                <w:sz w:val="14"/>
                <w:szCs w:val="14"/>
              </w:rPr>
            </w:pPr>
            <w:r>
              <w:rPr>
                <w:color w:val="000000"/>
                <w:sz w:val="14"/>
                <w:szCs w:val="14"/>
              </w:rPr>
              <w:t>2020</w:t>
            </w:r>
          </w:p>
        </w:tc>
        <w:tc>
          <w:tcPr>
            <w:tcW w:w="1391" w:type="dxa"/>
            <w:gridSpan w:val="3"/>
            <w:tcBorders>
              <w:top w:val="nil"/>
              <w:left w:val="nil"/>
              <w:bottom w:val="nil"/>
              <w:right w:val="nil"/>
            </w:tcBorders>
            <w:shd w:val="clear" w:color="auto" w:fill="FFFFFF"/>
            <w:vAlign w:val="bottom"/>
          </w:tcPr>
          <w:p w14:paraId="69A2DE89" w14:textId="77777777" w:rsidR="00A031A6" w:rsidRDefault="00916FD0">
            <w:pPr>
              <w:ind w:left="348" w:right="118"/>
              <w:jc w:val="right"/>
              <w:rPr>
                <w:color w:val="000000"/>
                <w:sz w:val="14"/>
                <w:szCs w:val="14"/>
              </w:rPr>
            </w:pPr>
            <w:r>
              <w:rPr>
                <w:color w:val="000000"/>
                <w:sz w:val="14"/>
                <w:szCs w:val="14"/>
              </w:rPr>
              <w:t>398,940,635</w:t>
            </w:r>
          </w:p>
        </w:tc>
        <w:tc>
          <w:tcPr>
            <w:tcW w:w="1368" w:type="dxa"/>
            <w:gridSpan w:val="2"/>
            <w:tcBorders>
              <w:top w:val="nil"/>
              <w:left w:val="nil"/>
              <w:bottom w:val="nil"/>
              <w:right w:val="nil"/>
            </w:tcBorders>
            <w:shd w:val="clear" w:color="auto" w:fill="FFFFFF"/>
            <w:vAlign w:val="bottom"/>
          </w:tcPr>
          <w:p w14:paraId="28402CB3" w14:textId="77777777" w:rsidR="00A031A6" w:rsidRDefault="00916FD0">
            <w:pPr>
              <w:jc w:val="right"/>
              <w:rPr>
                <w:color w:val="000000"/>
                <w:sz w:val="14"/>
                <w:szCs w:val="14"/>
              </w:rPr>
            </w:pPr>
            <w:r>
              <w:rPr>
                <w:color w:val="000000"/>
                <w:sz w:val="14"/>
                <w:szCs w:val="14"/>
              </w:rPr>
              <w:t>372,118,248</w:t>
            </w:r>
          </w:p>
        </w:tc>
        <w:tc>
          <w:tcPr>
            <w:tcW w:w="1371" w:type="dxa"/>
            <w:gridSpan w:val="2"/>
            <w:tcBorders>
              <w:top w:val="nil"/>
              <w:left w:val="nil"/>
              <w:bottom w:val="nil"/>
              <w:right w:val="nil"/>
            </w:tcBorders>
            <w:shd w:val="clear" w:color="auto" w:fill="FFFFFF"/>
            <w:vAlign w:val="bottom"/>
          </w:tcPr>
          <w:p w14:paraId="40FF9D54" w14:textId="77777777" w:rsidR="00A031A6" w:rsidRDefault="00916FD0">
            <w:pPr>
              <w:jc w:val="right"/>
              <w:rPr>
                <w:color w:val="000000"/>
                <w:sz w:val="14"/>
                <w:szCs w:val="14"/>
              </w:rPr>
            </w:pPr>
            <w:r>
              <w:rPr>
                <w:color w:val="000000"/>
                <w:sz w:val="14"/>
                <w:szCs w:val="14"/>
              </w:rPr>
              <w:t>145,900,226</w:t>
            </w:r>
          </w:p>
        </w:tc>
        <w:tc>
          <w:tcPr>
            <w:tcW w:w="1510" w:type="dxa"/>
            <w:gridSpan w:val="2"/>
            <w:tcBorders>
              <w:top w:val="nil"/>
              <w:left w:val="nil"/>
              <w:bottom w:val="nil"/>
              <w:right w:val="nil"/>
            </w:tcBorders>
            <w:shd w:val="clear" w:color="auto" w:fill="FFFFFF"/>
            <w:vAlign w:val="bottom"/>
          </w:tcPr>
          <w:p w14:paraId="2943723D" w14:textId="77777777" w:rsidR="00A031A6" w:rsidRDefault="00916FD0">
            <w:pPr>
              <w:jc w:val="right"/>
              <w:rPr>
                <w:color w:val="000000"/>
                <w:sz w:val="14"/>
                <w:szCs w:val="14"/>
              </w:rPr>
            </w:pPr>
            <w:r>
              <w:rPr>
                <w:color w:val="000000"/>
                <w:sz w:val="14"/>
                <w:szCs w:val="14"/>
              </w:rPr>
              <w:t>119,077,839</w:t>
            </w:r>
          </w:p>
        </w:tc>
        <w:tc>
          <w:tcPr>
            <w:tcW w:w="1362" w:type="dxa"/>
            <w:gridSpan w:val="3"/>
            <w:tcBorders>
              <w:top w:val="nil"/>
              <w:left w:val="nil"/>
              <w:bottom w:val="nil"/>
              <w:right w:val="nil"/>
            </w:tcBorders>
            <w:shd w:val="clear" w:color="auto" w:fill="FFFFFF"/>
            <w:vAlign w:val="bottom"/>
          </w:tcPr>
          <w:p w14:paraId="1B825605" w14:textId="77777777"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14:paraId="722AB8B5" w14:textId="77777777" w:rsidR="00A031A6" w:rsidRDefault="00916FD0">
            <w:pPr>
              <w:jc w:val="right"/>
              <w:rPr>
                <w:color w:val="000000"/>
                <w:sz w:val="14"/>
                <w:szCs w:val="14"/>
              </w:rPr>
            </w:pPr>
            <w:r>
              <w:rPr>
                <w:color w:val="000000"/>
                <w:sz w:val="14"/>
                <w:szCs w:val="14"/>
              </w:rPr>
              <w:t>398,940,635</w:t>
            </w:r>
          </w:p>
        </w:tc>
        <w:tc>
          <w:tcPr>
            <w:tcW w:w="1372" w:type="dxa"/>
            <w:gridSpan w:val="2"/>
            <w:tcBorders>
              <w:top w:val="nil"/>
              <w:left w:val="nil"/>
              <w:bottom w:val="nil"/>
              <w:right w:val="nil"/>
            </w:tcBorders>
            <w:shd w:val="clear" w:color="auto" w:fill="FFFFFF"/>
            <w:vAlign w:val="bottom"/>
          </w:tcPr>
          <w:p w14:paraId="6BFCEF1D" w14:textId="77777777"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14:paraId="616E1302" w14:textId="77777777"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14:paraId="56DC2E15" w14:textId="77777777"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14:paraId="57E0CD38" w14:textId="77777777" w:rsidR="00A031A6" w:rsidRDefault="00916FD0">
            <w:pPr>
              <w:jc w:val="right"/>
              <w:rPr>
                <w:color w:val="000000"/>
                <w:sz w:val="14"/>
                <w:szCs w:val="14"/>
              </w:rPr>
            </w:pPr>
            <w:r>
              <w:rPr>
                <w:color w:val="000000"/>
                <w:sz w:val="14"/>
                <w:szCs w:val="14"/>
              </w:rPr>
              <w:t>115%</w:t>
            </w:r>
          </w:p>
        </w:tc>
      </w:tr>
      <w:tr w:rsidR="00A031A6" w14:paraId="6305D669" w14:textId="77777777">
        <w:trPr>
          <w:trHeight w:val="57"/>
        </w:trPr>
        <w:tc>
          <w:tcPr>
            <w:tcW w:w="1552" w:type="dxa"/>
            <w:tcBorders>
              <w:top w:val="nil"/>
              <w:left w:val="nil"/>
              <w:bottom w:val="nil"/>
              <w:right w:val="nil"/>
            </w:tcBorders>
            <w:shd w:val="clear" w:color="auto" w:fill="FFFFFF"/>
            <w:vAlign w:val="bottom"/>
          </w:tcPr>
          <w:p w14:paraId="04F5BF70" w14:textId="77777777" w:rsidR="00A031A6" w:rsidRDefault="00916FD0">
            <w:pPr>
              <w:ind w:left="321" w:right="-30"/>
              <w:jc w:val="right"/>
              <w:rPr>
                <w:color w:val="000000"/>
                <w:sz w:val="14"/>
                <w:szCs w:val="14"/>
              </w:rPr>
            </w:pPr>
            <w:r>
              <w:rPr>
                <w:color w:val="000000"/>
                <w:sz w:val="14"/>
                <w:szCs w:val="14"/>
              </w:rPr>
              <w:t>2021</w:t>
            </w:r>
          </w:p>
        </w:tc>
        <w:tc>
          <w:tcPr>
            <w:tcW w:w="1391" w:type="dxa"/>
            <w:gridSpan w:val="3"/>
            <w:tcBorders>
              <w:top w:val="nil"/>
              <w:left w:val="nil"/>
              <w:bottom w:val="nil"/>
              <w:right w:val="nil"/>
            </w:tcBorders>
            <w:shd w:val="clear" w:color="auto" w:fill="FFFFFF"/>
            <w:vAlign w:val="bottom"/>
          </w:tcPr>
          <w:p w14:paraId="62BDD738" w14:textId="77777777" w:rsidR="00A031A6" w:rsidRDefault="00916FD0">
            <w:pPr>
              <w:ind w:left="348" w:right="118"/>
              <w:jc w:val="right"/>
              <w:rPr>
                <w:color w:val="000000"/>
                <w:sz w:val="14"/>
                <w:szCs w:val="14"/>
              </w:rPr>
            </w:pPr>
            <w:r>
              <w:rPr>
                <w:color w:val="000000"/>
                <w:sz w:val="14"/>
                <w:szCs w:val="14"/>
              </w:rPr>
              <w:t>422,138,042</w:t>
            </w:r>
          </w:p>
        </w:tc>
        <w:tc>
          <w:tcPr>
            <w:tcW w:w="1368" w:type="dxa"/>
            <w:gridSpan w:val="2"/>
            <w:tcBorders>
              <w:top w:val="nil"/>
              <w:left w:val="nil"/>
              <w:bottom w:val="nil"/>
              <w:right w:val="nil"/>
            </w:tcBorders>
            <w:shd w:val="clear" w:color="auto" w:fill="FFFFFF"/>
            <w:vAlign w:val="bottom"/>
          </w:tcPr>
          <w:p w14:paraId="27F66DA4" w14:textId="77777777" w:rsidR="00A031A6" w:rsidRDefault="00916FD0">
            <w:pPr>
              <w:jc w:val="right"/>
              <w:rPr>
                <w:color w:val="000000"/>
                <w:sz w:val="14"/>
                <w:szCs w:val="14"/>
              </w:rPr>
            </w:pPr>
            <w:r>
              <w:rPr>
                <w:color w:val="000000"/>
                <w:sz w:val="14"/>
                <w:szCs w:val="14"/>
              </w:rPr>
              <w:t>398,940,635</w:t>
            </w:r>
          </w:p>
        </w:tc>
        <w:tc>
          <w:tcPr>
            <w:tcW w:w="1371" w:type="dxa"/>
            <w:gridSpan w:val="2"/>
            <w:tcBorders>
              <w:top w:val="nil"/>
              <w:left w:val="nil"/>
              <w:bottom w:val="nil"/>
              <w:right w:val="nil"/>
            </w:tcBorders>
            <w:shd w:val="clear" w:color="auto" w:fill="FFFFFF"/>
            <w:vAlign w:val="bottom"/>
          </w:tcPr>
          <w:p w14:paraId="33D8EE71" w14:textId="77777777" w:rsidR="00A031A6" w:rsidRDefault="00916FD0">
            <w:pPr>
              <w:jc w:val="right"/>
              <w:rPr>
                <w:color w:val="000000"/>
                <w:sz w:val="14"/>
                <w:szCs w:val="14"/>
              </w:rPr>
            </w:pPr>
            <w:r>
              <w:rPr>
                <w:color w:val="000000"/>
                <w:sz w:val="14"/>
                <w:szCs w:val="14"/>
              </w:rPr>
              <w:t>150,858,411</w:t>
            </w:r>
          </w:p>
        </w:tc>
        <w:tc>
          <w:tcPr>
            <w:tcW w:w="1510" w:type="dxa"/>
            <w:gridSpan w:val="2"/>
            <w:tcBorders>
              <w:top w:val="nil"/>
              <w:left w:val="nil"/>
              <w:bottom w:val="nil"/>
              <w:right w:val="nil"/>
            </w:tcBorders>
            <w:shd w:val="clear" w:color="auto" w:fill="FFFFFF"/>
            <w:vAlign w:val="bottom"/>
          </w:tcPr>
          <w:p w14:paraId="244031EE" w14:textId="77777777" w:rsidR="00A031A6" w:rsidRDefault="00916FD0">
            <w:pPr>
              <w:jc w:val="right"/>
              <w:rPr>
                <w:color w:val="000000"/>
                <w:sz w:val="14"/>
                <w:szCs w:val="14"/>
              </w:rPr>
            </w:pPr>
            <w:r>
              <w:rPr>
                <w:color w:val="000000"/>
                <w:sz w:val="14"/>
                <w:szCs w:val="14"/>
              </w:rPr>
              <w:t>127,661,003</w:t>
            </w:r>
          </w:p>
        </w:tc>
        <w:tc>
          <w:tcPr>
            <w:tcW w:w="1362" w:type="dxa"/>
            <w:gridSpan w:val="3"/>
            <w:tcBorders>
              <w:top w:val="nil"/>
              <w:left w:val="nil"/>
              <w:bottom w:val="nil"/>
              <w:right w:val="nil"/>
            </w:tcBorders>
            <w:shd w:val="clear" w:color="auto" w:fill="FFFFFF"/>
            <w:vAlign w:val="bottom"/>
          </w:tcPr>
          <w:p w14:paraId="4DC838DF" w14:textId="77777777"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14:paraId="153AB2CF" w14:textId="77777777" w:rsidR="00A031A6" w:rsidRDefault="00916FD0">
            <w:pPr>
              <w:jc w:val="right"/>
              <w:rPr>
                <w:color w:val="000000"/>
                <w:sz w:val="14"/>
                <w:szCs w:val="14"/>
              </w:rPr>
            </w:pPr>
            <w:r>
              <w:rPr>
                <w:color w:val="000000"/>
                <w:sz w:val="14"/>
                <w:szCs w:val="14"/>
              </w:rPr>
              <w:t>422,138,042</w:t>
            </w:r>
          </w:p>
        </w:tc>
        <w:tc>
          <w:tcPr>
            <w:tcW w:w="1372" w:type="dxa"/>
            <w:gridSpan w:val="2"/>
            <w:tcBorders>
              <w:top w:val="nil"/>
              <w:left w:val="nil"/>
              <w:bottom w:val="nil"/>
              <w:right w:val="nil"/>
            </w:tcBorders>
            <w:shd w:val="clear" w:color="auto" w:fill="FFFFFF"/>
            <w:vAlign w:val="bottom"/>
          </w:tcPr>
          <w:p w14:paraId="07EA62FA" w14:textId="77777777" w:rsidR="00A031A6" w:rsidRDefault="00916FD0">
            <w:pPr>
              <w:jc w:val="right"/>
              <w:rPr>
                <w:color w:val="000000"/>
                <w:sz w:val="14"/>
                <w:szCs w:val="14"/>
              </w:rPr>
            </w:pPr>
            <w:r>
              <w:rPr>
                <w:color w:val="000000"/>
                <w:sz w:val="14"/>
                <w:szCs w:val="14"/>
              </w:rPr>
              <w:t>100%</w:t>
            </w:r>
          </w:p>
        </w:tc>
        <w:tc>
          <w:tcPr>
            <w:tcW w:w="1373" w:type="dxa"/>
            <w:gridSpan w:val="2"/>
            <w:tcBorders>
              <w:top w:val="nil"/>
              <w:left w:val="nil"/>
              <w:bottom w:val="nil"/>
              <w:right w:val="nil"/>
            </w:tcBorders>
            <w:shd w:val="clear" w:color="auto" w:fill="FFFFFF"/>
            <w:vAlign w:val="bottom"/>
          </w:tcPr>
          <w:p w14:paraId="45E3D801" w14:textId="77777777" w:rsidR="00A031A6" w:rsidRDefault="00916FD0">
            <w:pPr>
              <w:jc w:val="right"/>
              <w:rPr>
                <w:color w:val="000000"/>
                <w:sz w:val="14"/>
                <w:szCs w:val="14"/>
              </w:rPr>
            </w:pPr>
            <w:r>
              <w:rPr>
                <w:color w:val="000000"/>
                <w:sz w:val="14"/>
                <w:szCs w:val="14"/>
              </w:rPr>
              <w:t>0</w:t>
            </w:r>
          </w:p>
        </w:tc>
        <w:tc>
          <w:tcPr>
            <w:tcW w:w="1373" w:type="dxa"/>
            <w:gridSpan w:val="2"/>
            <w:tcBorders>
              <w:top w:val="nil"/>
              <w:left w:val="nil"/>
              <w:bottom w:val="nil"/>
              <w:right w:val="nil"/>
            </w:tcBorders>
            <w:shd w:val="clear" w:color="auto" w:fill="FFFFFF"/>
            <w:vAlign w:val="bottom"/>
          </w:tcPr>
          <w:p w14:paraId="50E26745" w14:textId="77777777" w:rsidR="00A031A6" w:rsidRDefault="00916FD0">
            <w:pPr>
              <w:jc w:val="right"/>
              <w:rPr>
                <w:color w:val="000000"/>
                <w:sz w:val="14"/>
                <w:szCs w:val="14"/>
              </w:rPr>
            </w:pPr>
            <w:r>
              <w:rPr>
                <w:color w:val="000000"/>
                <w:sz w:val="14"/>
                <w:szCs w:val="14"/>
              </w:rPr>
              <w:t>0%</w:t>
            </w:r>
          </w:p>
        </w:tc>
        <w:tc>
          <w:tcPr>
            <w:tcW w:w="1355" w:type="dxa"/>
            <w:gridSpan w:val="2"/>
            <w:tcBorders>
              <w:top w:val="nil"/>
              <w:left w:val="nil"/>
              <w:bottom w:val="nil"/>
              <w:right w:val="nil"/>
            </w:tcBorders>
            <w:shd w:val="clear" w:color="auto" w:fill="FFFFFF"/>
            <w:vAlign w:val="bottom"/>
          </w:tcPr>
          <w:p w14:paraId="18A091CB" w14:textId="77777777" w:rsidR="00A031A6" w:rsidRDefault="00916FD0">
            <w:pPr>
              <w:jc w:val="right"/>
              <w:rPr>
                <w:color w:val="000000"/>
                <w:sz w:val="14"/>
                <w:szCs w:val="14"/>
              </w:rPr>
            </w:pPr>
            <w:r>
              <w:rPr>
                <w:color w:val="000000"/>
                <w:sz w:val="14"/>
                <w:szCs w:val="14"/>
              </w:rPr>
              <w:t>120%</w:t>
            </w:r>
          </w:p>
        </w:tc>
      </w:tr>
      <w:tr w:rsidR="00A031A6" w14:paraId="5D0AFAFE" w14:textId="77777777">
        <w:trPr>
          <w:trHeight w:val="57"/>
        </w:trPr>
        <w:tc>
          <w:tcPr>
            <w:tcW w:w="1552" w:type="dxa"/>
            <w:tcBorders>
              <w:top w:val="nil"/>
              <w:left w:val="nil"/>
              <w:bottom w:val="nil"/>
              <w:right w:val="nil"/>
            </w:tcBorders>
            <w:shd w:val="clear" w:color="auto" w:fill="FFFFFF"/>
            <w:vAlign w:val="bottom"/>
          </w:tcPr>
          <w:p w14:paraId="71FF66CA" w14:textId="77777777" w:rsidR="00A031A6" w:rsidRDefault="00916FD0">
            <w:pPr>
              <w:ind w:left="321" w:right="-30"/>
              <w:jc w:val="right"/>
              <w:rPr>
                <w:color w:val="000000"/>
                <w:sz w:val="14"/>
                <w:szCs w:val="14"/>
              </w:rPr>
            </w:pPr>
            <w:r>
              <w:rPr>
                <w:color w:val="000000"/>
                <w:sz w:val="14"/>
                <w:szCs w:val="14"/>
              </w:rPr>
              <w:t>2022</w:t>
            </w:r>
          </w:p>
        </w:tc>
        <w:tc>
          <w:tcPr>
            <w:tcW w:w="1391" w:type="dxa"/>
            <w:gridSpan w:val="3"/>
            <w:tcBorders>
              <w:top w:val="nil"/>
              <w:left w:val="nil"/>
              <w:bottom w:val="nil"/>
              <w:right w:val="nil"/>
            </w:tcBorders>
            <w:shd w:val="clear" w:color="auto" w:fill="FFFFFF"/>
            <w:vAlign w:val="bottom"/>
          </w:tcPr>
          <w:p w14:paraId="6E173BC1" w14:textId="77777777" w:rsidR="00A031A6" w:rsidRDefault="00916FD0">
            <w:pPr>
              <w:ind w:left="348" w:right="118"/>
              <w:jc w:val="right"/>
              <w:rPr>
                <w:color w:val="000000"/>
                <w:sz w:val="14"/>
                <w:szCs w:val="14"/>
              </w:rPr>
            </w:pPr>
            <w:r>
              <w:rPr>
                <w:color w:val="000000"/>
                <w:sz w:val="14"/>
                <w:szCs w:val="14"/>
              </w:rPr>
              <w:t>443,038,960</w:t>
            </w:r>
          </w:p>
        </w:tc>
        <w:tc>
          <w:tcPr>
            <w:tcW w:w="1368" w:type="dxa"/>
            <w:gridSpan w:val="2"/>
            <w:tcBorders>
              <w:top w:val="nil"/>
              <w:left w:val="nil"/>
              <w:bottom w:val="nil"/>
              <w:right w:val="nil"/>
            </w:tcBorders>
            <w:shd w:val="clear" w:color="auto" w:fill="FFFFFF"/>
            <w:vAlign w:val="bottom"/>
          </w:tcPr>
          <w:p w14:paraId="0C5C5C5E" w14:textId="77777777" w:rsidR="00A031A6" w:rsidRDefault="00916FD0">
            <w:pPr>
              <w:jc w:val="right"/>
              <w:rPr>
                <w:color w:val="000000"/>
                <w:sz w:val="14"/>
                <w:szCs w:val="14"/>
              </w:rPr>
            </w:pPr>
            <w:r>
              <w:rPr>
                <w:color w:val="000000"/>
                <w:sz w:val="14"/>
                <w:szCs w:val="14"/>
              </w:rPr>
              <w:t>422,138,042</w:t>
            </w:r>
          </w:p>
        </w:tc>
        <w:tc>
          <w:tcPr>
            <w:tcW w:w="1371" w:type="dxa"/>
            <w:gridSpan w:val="2"/>
            <w:tcBorders>
              <w:top w:val="nil"/>
              <w:left w:val="nil"/>
              <w:bottom w:val="nil"/>
              <w:right w:val="nil"/>
            </w:tcBorders>
            <w:shd w:val="clear" w:color="auto" w:fill="FFFFFF"/>
            <w:vAlign w:val="bottom"/>
          </w:tcPr>
          <w:p w14:paraId="4E50425D" w14:textId="77777777" w:rsidR="00A031A6" w:rsidRDefault="00916FD0">
            <w:pPr>
              <w:jc w:val="right"/>
              <w:rPr>
                <w:color w:val="000000"/>
                <w:sz w:val="14"/>
                <w:szCs w:val="14"/>
              </w:rPr>
            </w:pPr>
            <w:r>
              <w:rPr>
                <w:color w:val="000000"/>
                <w:sz w:val="14"/>
                <w:szCs w:val="14"/>
              </w:rPr>
              <w:t>155,985,091</w:t>
            </w:r>
          </w:p>
        </w:tc>
        <w:tc>
          <w:tcPr>
            <w:tcW w:w="1510" w:type="dxa"/>
            <w:gridSpan w:val="2"/>
            <w:tcBorders>
              <w:top w:val="nil"/>
              <w:left w:val="nil"/>
              <w:bottom w:val="nil"/>
              <w:right w:val="nil"/>
            </w:tcBorders>
            <w:shd w:val="clear" w:color="auto" w:fill="FFFFFF"/>
            <w:vAlign w:val="bottom"/>
          </w:tcPr>
          <w:p w14:paraId="780EB6CF" w14:textId="77777777" w:rsidR="00A031A6" w:rsidRDefault="00916FD0">
            <w:pPr>
              <w:jc w:val="right"/>
              <w:rPr>
                <w:color w:val="000000"/>
                <w:sz w:val="14"/>
                <w:szCs w:val="14"/>
              </w:rPr>
            </w:pPr>
            <w:r>
              <w:rPr>
                <w:color w:val="000000"/>
                <w:sz w:val="14"/>
                <w:szCs w:val="14"/>
              </w:rPr>
              <w:t>135,084,174</w:t>
            </w:r>
          </w:p>
        </w:tc>
        <w:tc>
          <w:tcPr>
            <w:tcW w:w="1362" w:type="dxa"/>
            <w:gridSpan w:val="3"/>
            <w:tcBorders>
              <w:top w:val="nil"/>
              <w:left w:val="nil"/>
              <w:bottom w:val="nil"/>
              <w:right w:val="nil"/>
            </w:tcBorders>
            <w:shd w:val="clear" w:color="auto" w:fill="FFFFFF"/>
            <w:vAlign w:val="bottom"/>
          </w:tcPr>
          <w:p w14:paraId="678818E9" w14:textId="77777777" w:rsidR="00A031A6" w:rsidRDefault="00916FD0">
            <w:pPr>
              <w:jc w:val="right"/>
              <w:rPr>
                <w:color w:val="000000"/>
                <w:sz w:val="14"/>
                <w:szCs w:val="14"/>
              </w:rPr>
            </w:pPr>
            <w:r>
              <w:rPr>
                <w:color w:val="000000"/>
                <w:sz w:val="14"/>
                <w:szCs w:val="14"/>
              </w:rPr>
              <w:t>0</w:t>
            </w:r>
          </w:p>
        </w:tc>
        <w:tc>
          <w:tcPr>
            <w:tcW w:w="1371" w:type="dxa"/>
            <w:gridSpan w:val="2"/>
            <w:tcBorders>
              <w:top w:val="nil"/>
              <w:left w:val="nil"/>
              <w:bottom w:val="nil"/>
              <w:right w:val="nil"/>
            </w:tcBorders>
            <w:shd w:val="clear" w:color="auto" w:fill="FFFFFF"/>
            <w:vAlign w:val="bottom"/>
          </w:tcPr>
          <w:p w14:paraId="6B308A45" w14:textId="77777777" w:rsidR="00A031A6" w:rsidRDefault="00916FD0">
            <w:pPr>
              <w:jc w:val="right"/>
              <w:rPr>
                <w:color w:val="000000"/>
                <w:sz w:val="14"/>
                <w:szCs w:val="14"/>
              </w:rPr>
            </w:pPr>
            <w:r>
              <w:rPr>
                <w:color w:val="000000"/>
                <w:sz w:val="14"/>
                <w:szCs w:val="14"/>
              </w:rPr>
              <w:t>287,053,869</w:t>
            </w:r>
          </w:p>
        </w:tc>
        <w:tc>
          <w:tcPr>
            <w:tcW w:w="1372" w:type="dxa"/>
            <w:gridSpan w:val="2"/>
            <w:tcBorders>
              <w:top w:val="nil"/>
              <w:left w:val="nil"/>
              <w:bottom w:val="nil"/>
              <w:right w:val="nil"/>
            </w:tcBorders>
            <w:shd w:val="clear" w:color="auto" w:fill="FFFFFF"/>
            <w:vAlign w:val="bottom"/>
          </w:tcPr>
          <w:p w14:paraId="40355AEC" w14:textId="77777777" w:rsidR="00A031A6" w:rsidRDefault="00916FD0">
            <w:pPr>
              <w:jc w:val="right"/>
              <w:rPr>
                <w:color w:val="000000"/>
                <w:sz w:val="14"/>
                <w:szCs w:val="14"/>
              </w:rPr>
            </w:pPr>
            <w:r>
              <w:rPr>
                <w:color w:val="000000"/>
                <w:sz w:val="14"/>
                <w:szCs w:val="14"/>
              </w:rPr>
              <w:t>65%</w:t>
            </w:r>
          </w:p>
        </w:tc>
        <w:tc>
          <w:tcPr>
            <w:tcW w:w="1373" w:type="dxa"/>
            <w:gridSpan w:val="2"/>
            <w:tcBorders>
              <w:top w:val="nil"/>
              <w:left w:val="nil"/>
              <w:bottom w:val="nil"/>
              <w:right w:val="nil"/>
            </w:tcBorders>
            <w:shd w:val="clear" w:color="auto" w:fill="FFFFFF"/>
            <w:vAlign w:val="bottom"/>
          </w:tcPr>
          <w:p w14:paraId="59EDF244" w14:textId="77777777" w:rsidR="00A031A6" w:rsidRDefault="00916FD0">
            <w:pPr>
              <w:jc w:val="right"/>
              <w:rPr>
                <w:color w:val="000000"/>
                <w:sz w:val="14"/>
                <w:szCs w:val="14"/>
              </w:rPr>
            </w:pPr>
            <w:r>
              <w:rPr>
                <w:color w:val="000000"/>
                <w:sz w:val="14"/>
                <w:szCs w:val="14"/>
              </w:rPr>
              <w:t>155,985,091</w:t>
            </w:r>
          </w:p>
        </w:tc>
        <w:tc>
          <w:tcPr>
            <w:tcW w:w="1373" w:type="dxa"/>
            <w:gridSpan w:val="2"/>
            <w:tcBorders>
              <w:top w:val="nil"/>
              <w:left w:val="nil"/>
              <w:bottom w:val="nil"/>
              <w:right w:val="nil"/>
            </w:tcBorders>
            <w:shd w:val="clear" w:color="auto" w:fill="FFFFFF"/>
            <w:vAlign w:val="bottom"/>
          </w:tcPr>
          <w:p w14:paraId="1873EF13" w14:textId="77777777" w:rsidR="00A031A6" w:rsidRDefault="00916FD0">
            <w:pPr>
              <w:jc w:val="right"/>
              <w:rPr>
                <w:color w:val="000000"/>
                <w:sz w:val="14"/>
                <w:szCs w:val="14"/>
              </w:rPr>
            </w:pPr>
            <w:r>
              <w:rPr>
                <w:color w:val="000000"/>
                <w:sz w:val="14"/>
                <w:szCs w:val="14"/>
              </w:rPr>
              <w:t>35%</w:t>
            </w:r>
          </w:p>
        </w:tc>
        <w:tc>
          <w:tcPr>
            <w:tcW w:w="1355" w:type="dxa"/>
            <w:gridSpan w:val="2"/>
            <w:tcBorders>
              <w:top w:val="nil"/>
              <w:left w:val="nil"/>
              <w:bottom w:val="nil"/>
              <w:right w:val="nil"/>
            </w:tcBorders>
            <w:shd w:val="clear" w:color="auto" w:fill="FFFFFF"/>
            <w:vAlign w:val="bottom"/>
          </w:tcPr>
          <w:p w14:paraId="32A7739C" w14:textId="77777777" w:rsidR="00A031A6" w:rsidRDefault="00916FD0">
            <w:pPr>
              <w:jc w:val="right"/>
              <w:rPr>
                <w:color w:val="000000"/>
                <w:sz w:val="14"/>
                <w:szCs w:val="14"/>
              </w:rPr>
            </w:pPr>
            <w:r>
              <w:rPr>
                <w:color w:val="000000"/>
                <w:sz w:val="14"/>
                <w:szCs w:val="14"/>
              </w:rPr>
              <w:t>125%</w:t>
            </w:r>
          </w:p>
        </w:tc>
      </w:tr>
      <w:tr w:rsidR="00A031A6" w14:paraId="28F39029" w14:textId="77777777">
        <w:trPr>
          <w:trHeight w:val="57"/>
        </w:trPr>
        <w:tc>
          <w:tcPr>
            <w:tcW w:w="1552" w:type="dxa"/>
            <w:tcBorders>
              <w:top w:val="nil"/>
              <w:left w:val="nil"/>
              <w:bottom w:val="nil"/>
              <w:right w:val="nil"/>
            </w:tcBorders>
            <w:shd w:val="clear" w:color="auto" w:fill="FFFFFF"/>
            <w:vAlign w:val="bottom"/>
          </w:tcPr>
          <w:p w14:paraId="094BBB84" w14:textId="77777777" w:rsidR="00A031A6" w:rsidRDefault="00916FD0">
            <w:pPr>
              <w:ind w:left="321" w:right="-30"/>
              <w:jc w:val="right"/>
              <w:rPr>
                <w:color w:val="000000"/>
                <w:sz w:val="14"/>
                <w:szCs w:val="14"/>
              </w:rPr>
            </w:pPr>
            <w:r>
              <w:rPr>
                <w:color w:val="000000"/>
                <w:sz w:val="14"/>
                <w:szCs w:val="14"/>
              </w:rPr>
              <w:t>2023</w:t>
            </w:r>
          </w:p>
        </w:tc>
        <w:tc>
          <w:tcPr>
            <w:tcW w:w="1391" w:type="dxa"/>
            <w:gridSpan w:val="3"/>
            <w:tcBorders>
              <w:top w:val="nil"/>
              <w:left w:val="nil"/>
              <w:bottom w:val="nil"/>
              <w:right w:val="nil"/>
            </w:tcBorders>
            <w:shd w:val="clear" w:color="auto" w:fill="FFFFFF"/>
            <w:vAlign w:val="bottom"/>
          </w:tcPr>
          <w:p w14:paraId="3965773E" w14:textId="77777777" w:rsidR="00A031A6" w:rsidRDefault="00916FD0">
            <w:pPr>
              <w:ind w:left="348" w:right="118"/>
              <w:jc w:val="right"/>
              <w:rPr>
                <w:color w:val="000000"/>
                <w:sz w:val="14"/>
                <w:szCs w:val="14"/>
              </w:rPr>
            </w:pPr>
            <w:r>
              <w:rPr>
                <w:color w:val="000000"/>
                <w:sz w:val="14"/>
                <w:szCs w:val="14"/>
              </w:rPr>
              <w:t>462,552,486</w:t>
            </w:r>
          </w:p>
        </w:tc>
        <w:tc>
          <w:tcPr>
            <w:tcW w:w="1368" w:type="dxa"/>
            <w:gridSpan w:val="2"/>
            <w:tcBorders>
              <w:top w:val="nil"/>
              <w:left w:val="nil"/>
              <w:bottom w:val="nil"/>
              <w:right w:val="nil"/>
            </w:tcBorders>
            <w:shd w:val="clear" w:color="auto" w:fill="FFFFFF"/>
            <w:vAlign w:val="bottom"/>
          </w:tcPr>
          <w:p w14:paraId="049C5986" w14:textId="77777777" w:rsidR="00A031A6" w:rsidRDefault="00916FD0">
            <w:pPr>
              <w:jc w:val="right"/>
              <w:rPr>
                <w:color w:val="000000"/>
                <w:sz w:val="14"/>
                <w:szCs w:val="14"/>
              </w:rPr>
            </w:pPr>
            <w:r>
              <w:rPr>
                <w:color w:val="000000"/>
                <w:sz w:val="14"/>
                <w:szCs w:val="14"/>
              </w:rPr>
              <w:t>443,038,960</w:t>
            </w:r>
          </w:p>
        </w:tc>
        <w:tc>
          <w:tcPr>
            <w:tcW w:w="1371" w:type="dxa"/>
            <w:gridSpan w:val="2"/>
            <w:tcBorders>
              <w:top w:val="nil"/>
              <w:left w:val="nil"/>
              <w:bottom w:val="nil"/>
              <w:right w:val="nil"/>
            </w:tcBorders>
            <w:shd w:val="clear" w:color="auto" w:fill="FFFFFF"/>
            <w:vAlign w:val="bottom"/>
          </w:tcPr>
          <w:p w14:paraId="7D230E8A" w14:textId="77777777" w:rsidR="00A031A6" w:rsidRDefault="00916FD0">
            <w:pPr>
              <w:jc w:val="right"/>
              <w:rPr>
                <w:color w:val="000000"/>
                <w:sz w:val="14"/>
                <w:szCs w:val="14"/>
              </w:rPr>
            </w:pPr>
            <w:r>
              <w:rPr>
                <w:color w:val="000000"/>
                <w:sz w:val="14"/>
                <w:szCs w:val="14"/>
              </w:rPr>
              <w:t>161,285,993</w:t>
            </w:r>
          </w:p>
        </w:tc>
        <w:tc>
          <w:tcPr>
            <w:tcW w:w="1510" w:type="dxa"/>
            <w:gridSpan w:val="2"/>
            <w:tcBorders>
              <w:top w:val="nil"/>
              <w:left w:val="nil"/>
              <w:bottom w:val="nil"/>
              <w:right w:val="nil"/>
            </w:tcBorders>
            <w:shd w:val="clear" w:color="auto" w:fill="FFFFFF"/>
            <w:vAlign w:val="bottom"/>
          </w:tcPr>
          <w:p w14:paraId="44F1D26C" w14:textId="77777777" w:rsidR="00A031A6" w:rsidRDefault="00916FD0">
            <w:pPr>
              <w:jc w:val="right"/>
              <w:rPr>
                <w:color w:val="000000"/>
                <w:sz w:val="14"/>
                <w:szCs w:val="14"/>
              </w:rPr>
            </w:pPr>
            <w:r>
              <w:rPr>
                <w:color w:val="000000"/>
                <w:sz w:val="14"/>
                <w:szCs w:val="14"/>
              </w:rPr>
              <w:t>91,857,238</w:t>
            </w:r>
          </w:p>
        </w:tc>
        <w:tc>
          <w:tcPr>
            <w:tcW w:w="1362" w:type="dxa"/>
            <w:gridSpan w:val="3"/>
            <w:tcBorders>
              <w:top w:val="nil"/>
              <w:left w:val="nil"/>
              <w:bottom w:val="nil"/>
              <w:right w:val="nil"/>
            </w:tcBorders>
            <w:shd w:val="clear" w:color="auto" w:fill="FFFFFF"/>
            <w:vAlign w:val="bottom"/>
          </w:tcPr>
          <w:p w14:paraId="0C2250AE" w14:textId="77777777" w:rsidR="00A031A6" w:rsidRDefault="00916FD0">
            <w:pPr>
              <w:jc w:val="right"/>
              <w:rPr>
                <w:color w:val="000000"/>
                <w:sz w:val="14"/>
                <w:szCs w:val="14"/>
              </w:rPr>
            </w:pPr>
            <w:r>
              <w:rPr>
                <w:color w:val="000000"/>
                <w:sz w:val="14"/>
                <w:szCs w:val="14"/>
              </w:rPr>
              <w:t>49,915,229</w:t>
            </w:r>
          </w:p>
        </w:tc>
        <w:tc>
          <w:tcPr>
            <w:tcW w:w="1371" w:type="dxa"/>
            <w:gridSpan w:val="2"/>
            <w:tcBorders>
              <w:top w:val="nil"/>
              <w:left w:val="nil"/>
              <w:bottom w:val="nil"/>
              <w:right w:val="nil"/>
            </w:tcBorders>
            <w:shd w:val="clear" w:color="auto" w:fill="FFFFFF"/>
            <w:vAlign w:val="bottom"/>
          </w:tcPr>
          <w:p w14:paraId="1B7DD5B7" w14:textId="77777777" w:rsidR="00A031A6" w:rsidRDefault="00916FD0">
            <w:pPr>
              <w:jc w:val="right"/>
              <w:rPr>
                <w:color w:val="000000"/>
                <w:sz w:val="14"/>
                <w:szCs w:val="14"/>
              </w:rPr>
            </w:pPr>
            <w:r>
              <w:rPr>
                <w:color w:val="000000"/>
                <w:sz w:val="14"/>
                <w:szCs w:val="14"/>
              </w:rPr>
              <w:t>195,196,631</w:t>
            </w:r>
          </w:p>
        </w:tc>
        <w:tc>
          <w:tcPr>
            <w:tcW w:w="1372" w:type="dxa"/>
            <w:gridSpan w:val="2"/>
            <w:tcBorders>
              <w:top w:val="nil"/>
              <w:left w:val="nil"/>
              <w:bottom w:val="nil"/>
              <w:right w:val="nil"/>
            </w:tcBorders>
            <w:shd w:val="clear" w:color="auto" w:fill="FFFFFF"/>
            <w:vAlign w:val="bottom"/>
          </w:tcPr>
          <w:p w14:paraId="457C914A" w14:textId="77777777" w:rsidR="00A031A6" w:rsidRDefault="00916FD0">
            <w:pPr>
              <w:jc w:val="right"/>
              <w:rPr>
                <w:color w:val="000000"/>
                <w:sz w:val="14"/>
                <w:szCs w:val="14"/>
              </w:rPr>
            </w:pPr>
            <w:r>
              <w:rPr>
                <w:color w:val="000000"/>
                <w:sz w:val="14"/>
                <w:szCs w:val="14"/>
              </w:rPr>
              <w:t>42%</w:t>
            </w:r>
          </w:p>
        </w:tc>
        <w:tc>
          <w:tcPr>
            <w:tcW w:w="1373" w:type="dxa"/>
            <w:gridSpan w:val="2"/>
            <w:tcBorders>
              <w:top w:val="nil"/>
              <w:left w:val="nil"/>
              <w:bottom w:val="nil"/>
              <w:right w:val="nil"/>
            </w:tcBorders>
            <w:shd w:val="clear" w:color="auto" w:fill="FFFFFF"/>
            <w:vAlign w:val="bottom"/>
          </w:tcPr>
          <w:p w14:paraId="56DEAC7B" w14:textId="77777777" w:rsidR="00A031A6" w:rsidRDefault="00916FD0">
            <w:pPr>
              <w:jc w:val="right"/>
              <w:rPr>
                <w:color w:val="000000"/>
                <w:sz w:val="14"/>
                <w:szCs w:val="14"/>
              </w:rPr>
            </w:pPr>
            <w:r>
              <w:rPr>
                <w:color w:val="000000"/>
                <w:sz w:val="14"/>
                <w:szCs w:val="14"/>
              </w:rPr>
              <w:t>267,355,855</w:t>
            </w:r>
          </w:p>
        </w:tc>
        <w:tc>
          <w:tcPr>
            <w:tcW w:w="1373" w:type="dxa"/>
            <w:gridSpan w:val="2"/>
            <w:tcBorders>
              <w:top w:val="nil"/>
              <w:left w:val="nil"/>
              <w:bottom w:val="nil"/>
              <w:right w:val="nil"/>
            </w:tcBorders>
            <w:shd w:val="clear" w:color="auto" w:fill="FFFFFF"/>
            <w:vAlign w:val="bottom"/>
          </w:tcPr>
          <w:p w14:paraId="378BDA67" w14:textId="77777777" w:rsidR="00A031A6" w:rsidRDefault="00916FD0">
            <w:pPr>
              <w:jc w:val="right"/>
              <w:rPr>
                <w:color w:val="000000"/>
                <w:sz w:val="14"/>
                <w:szCs w:val="14"/>
              </w:rPr>
            </w:pPr>
            <w:r>
              <w:rPr>
                <w:color w:val="000000"/>
                <w:sz w:val="14"/>
                <w:szCs w:val="14"/>
              </w:rPr>
              <w:t>58%</w:t>
            </w:r>
          </w:p>
        </w:tc>
        <w:tc>
          <w:tcPr>
            <w:tcW w:w="1355" w:type="dxa"/>
            <w:gridSpan w:val="2"/>
            <w:tcBorders>
              <w:top w:val="nil"/>
              <w:left w:val="nil"/>
              <w:bottom w:val="nil"/>
              <w:right w:val="nil"/>
            </w:tcBorders>
            <w:shd w:val="clear" w:color="auto" w:fill="FFFFFF"/>
            <w:vAlign w:val="bottom"/>
          </w:tcPr>
          <w:p w14:paraId="0B467498" w14:textId="77777777" w:rsidR="00A031A6" w:rsidRDefault="00916FD0">
            <w:pPr>
              <w:jc w:val="right"/>
              <w:rPr>
                <w:color w:val="000000"/>
                <w:sz w:val="14"/>
                <w:szCs w:val="14"/>
              </w:rPr>
            </w:pPr>
            <w:r>
              <w:rPr>
                <w:color w:val="000000"/>
                <w:sz w:val="14"/>
                <w:szCs w:val="14"/>
              </w:rPr>
              <w:t>129%</w:t>
            </w:r>
          </w:p>
        </w:tc>
      </w:tr>
      <w:tr w:rsidR="00A031A6" w14:paraId="335B8462" w14:textId="77777777">
        <w:trPr>
          <w:trHeight w:val="57"/>
        </w:trPr>
        <w:tc>
          <w:tcPr>
            <w:tcW w:w="1552" w:type="dxa"/>
            <w:tcBorders>
              <w:top w:val="nil"/>
              <w:left w:val="nil"/>
              <w:bottom w:val="nil"/>
              <w:right w:val="nil"/>
            </w:tcBorders>
            <w:shd w:val="clear" w:color="auto" w:fill="FFFFFF"/>
            <w:vAlign w:val="bottom"/>
          </w:tcPr>
          <w:p w14:paraId="22EE3D6D" w14:textId="77777777" w:rsidR="00A031A6" w:rsidRDefault="00916FD0">
            <w:pPr>
              <w:ind w:left="321" w:right="-30"/>
              <w:jc w:val="right"/>
              <w:rPr>
                <w:color w:val="000000"/>
                <w:sz w:val="14"/>
                <w:szCs w:val="14"/>
              </w:rPr>
            </w:pPr>
            <w:r>
              <w:rPr>
                <w:color w:val="000000"/>
                <w:sz w:val="14"/>
                <w:szCs w:val="14"/>
              </w:rPr>
              <w:t>2024</w:t>
            </w:r>
          </w:p>
        </w:tc>
        <w:tc>
          <w:tcPr>
            <w:tcW w:w="1391" w:type="dxa"/>
            <w:gridSpan w:val="3"/>
            <w:tcBorders>
              <w:top w:val="nil"/>
              <w:left w:val="nil"/>
              <w:bottom w:val="nil"/>
              <w:right w:val="nil"/>
            </w:tcBorders>
            <w:shd w:val="clear" w:color="auto" w:fill="FFFFFF"/>
            <w:vAlign w:val="bottom"/>
          </w:tcPr>
          <w:p w14:paraId="28B751D8" w14:textId="77777777" w:rsidR="00A031A6" w:rsidRDefault="00916FD0">
            <w:pPr>
              <w:ind w:left="348" w:right="118"/>
              <w:jc w:val="right"/>
              <w:rPr>
                <w:color w:val="000000"/>
                <w:sz w:val="14"/>
                <w:szCs w:val="14"/>
              </w:rPr>
            </w:pPr>
            <w:r>
              <w:rPr>
                <w:color w:val="000000"/>
                <w:sz w:val="14"/>
                <w:szCs w:val="14"/>
              </w:rPr>
              <w:t>481,302,728</w:t>
            </w:r>
          </w:p>
        </w:tc>
        <w:tc>
          <w:tcPr>
            <w:tcW w:w="1368" w:type="dxa"/>
            <w:gridSpan w:val="2"/>
            <w:tcBorders>
              <w:top w:val="nil"/>
              <w:left w:val="nil"/>
              <w:bottom w:val="nil"/>
              <w:right w:val="nil"/>
            </w:tcBorders>
            <w:shd w:val="clear" w:color="auto" w:fill="FFFFFF"/>
            <w:vAlign w:val="bottom"/>
          </w:tcPr>
          <w:p w14:paraId="1BCB9DBE" w14:textId="77777777" w:rsidR="00A031A6" w:rsidRDefault="00916FD0">
            <w:pPr>
              <w:jc w:val="right"/>
              <w:rPr>
                <w:color w:val="000000"/>
                <w:sz w:val="14"/>
                <w:szCs w:val="14"/>
              </w:rPr>
            </w:pPr>
            <w:r>
              <w:rPr>
                <w:color w:val="000000"/>
                <w:sz w:val="14"/>
                <w:szCs w:val="14"/>
              </w:rPr>
              <w:t>462,552,486</w:t>
            </w:r>
          </w:p>
        </w:tc>
        <w:tc>
          <w:tcPr>
            <w:tcW w:w="1371" w:type="dxa"/>
            <w:gridSpan w:val="2"/>
            <w:tcBorders>
              <w:top w:val="nil"/>
              <w:left w:val="nil"/>
              <w:bottom w:val="nil"/>
              <w:right w:val="nil"/>
            </w:tcBorders>
            <w:shd w:val="clear" w:color="auto" w:fill="FFFFFF"/>
            <w:vAlign w:val="bottom"/>
          </w:tcPr>
          <w:p w14:paraId="6D6F466E" w14:textId="77777777" w:rsidR="00A031A6" w:rsidRDefault="00916FD0">
            <w:pPr>
              <w:jc w:val="right"/>
              <w:rPr>
                <w:color w:val="000000"/>
                <w:sz w:val="14"/>
                <w:szCs w:val="14"/>
              </w:rPr>
            </w:pPr>
            <w:r>
              <w:rPr>
                <w:color w:val="000000"/>
                <w:sz w:val="14"/>
                <w:szCs w:val="14"/>
              </w:rPr>
              <w:t>166,767,038</w:t>
            </w:r>
          </w:p>
        </w:tc>
        <w:tc>
          <w:tcPr>
            <w:tcW w:w="1510" w:type="dxa"/>
            <w:gridSpan w:val="2"/>
            <w:tcBorders>
              <w:top w:val="nil"/>
              <w:left w:val="nil"/>
              <w:bottom w:val="nil"/>
              <w:right w:val="nil"/>
            </w:tcBorders>
            <w:shd w:val="clear" w:color="auto" w:fill="FFFFFF"/>
            <w:vAlign w:val="bottom"/>
          </w:tcPr>
          <w:p w14:paraId="60EDE3F1" w14:textId="77777777" w:rsidR="00A031A6" w:rsidRDefault="00916FD0">
            <w:pPr>
              <w:jc w:val="right"/>
              <w:rPr>
                <w:color w:val="000000"/>
                <w:sz w:val="14"/>
                <w:szCs w:val="14"/>
              </w:rPr>
            </w:pPr>
            <w:r>
              <w:rPr>
                <w:color w:val="000000"/>
                <w:sz w:val="14"/>
                <w:szCs w:val="14"/>
              </w:rPr>
              <w:t>62,462,922</w:t>
            </w:r>
          </w:p>
        </w:tc>
        <w:tc>
          <w:tcPr>
            <w:tcW w:w="1362" w:type="dxa"/>
            <w:gridSpan w:val="3"/>
            <w:tcBorders>
              <w:top w:val="nil"/>
              <w:left w:val="nil"/>
              <w:bottom w:val="nil"/>
              <w:right w:val="nil"/>
            </w:tcBorders>
            <w:shd w:val="clear" w:color="auto" w:fill="FFFFFF"/>
            <w:vAlign w:val="bottom"/>
          </w:tcPr>
          <w:p w14:paraId="214E89AA" w14:textId="77777777" w:rsidR="00A031A6" w:rsidRDefault="00916FD0">
            <w:pPr>
              <w:jc w:val="right"/>
              <w:rPr>
                <w:color w:val="000000"/>
                <w:sz w:val="14"/>
                <w:szCs w:val="14"/>
              </w:rPr>
            </w:pPr>
            <w:r>
              <w:rPr>
                <w:color w:val="000000"/>
                <w:sz w:val="14"/>
                <w:szCs w:val="14"/>
              </w:rPr>
              <w:t>85,553,874</w:t>
            </w:r>
          </w:p>
        </w:tc>
        <w:tc>
          <w:tcPr>
            <w:tcW w:w="1371" w:type="dxa"/>
            <w:gridSpan w:val="2"/>
            <w:tcBorders>
              <w:top w:val="nil"/>
              <w:left w:val="nil"/>
              <w:bottom w:val="nil"/>
              <w:right w:val="nil"/>
            </w:tcBorders>
            <w:shd w:val="clear" w:color="auto" w:fill="FFFFFF"/>
            <w:vAlign w:val="bottom"/>
          </w:tcPr>
          <w:p w14:paraId="5D0414ED" w14:textId="77777777" w:rsidR="00A031A6" w:rsidRDefault="00916FD0">
            <w:pPr>
              <w:jc w:val="right"/>
              <w:rPr>
                <w:color w:val="000000"/>
                <w:sz w:val="14"/>
                <w:szCs w:val="14"/>
              </w:rPr>
            </w:pPr>
            <w:r>
              <w:rPr>
                <w:color w:val="000000"/>
                <w:sz w:val="14"/>
                <w:szCs w:val="14"/>
              </w:rPr>
              <w:t>132,733,709</w:t>
            </w:r>
          </w:p>
        </w:tc>
        <w:tc>
          <w:tcPr>
            <w:tcW w:w="1372" w:type="dxa"/>
            <w:gridSpan w:val="2"/>
            <w:tcBorders>
              <w:top w:val="nil"/>
              <w:left w:val="nil"/>
              <w:bottom w:val="nil"/>
              <w:right w:val="nil"/>
            </w:tcBorders>
            <w:shd w:val="clear" w:color="auto" w:fill="FFFFFF"/>
            <w:vAlign w:val="bottom"/>
          </w:tcPr>
          <w:p w14:paraId="00A39D98" w14:textId="77777777" w:rsidR="00A031A6" w:rsidRDefault="00916FD0">
            <w:pPr>
              <w:jc w:val="right"/>
              <w:rPr>
                <w:color w:val="000000"/>
                <w:sz w:val="14"/>
                <w:szCs w:val="14"/>
              </w:rPr>
            </w:pPr>
            <w:r>
              <w:rPr>
                <w:color w:val="000000"/>
                <w:sz w:val="14"/>
                <w:szCs w:val="14"/>
              </w:rPr>
              <w:t>28%</w:t>
            </w:r>
          </w:p>
        </w:tc>
        <w:tc>
          <w:tcPr>
            <w:tcW w:w="1373" w:type="dxa"/>
            <w:gridSpan w:val="2"/>
            <w:tcBorders>
              <w:top w:val="nil"/>
              <w:left w:val="nil"/>
              <w:bottom w:val="nil"/>
              <w:right w:val="nil"/>
            </w:tcBorders>
            <w:shd w:val="clear" w:color="auto" w:fill="FFFFFF"/>
            <w:vAlign w:val="bottom"/>
          </w:tcPr>
          <w:p w14:paraId="1FE18D5D" w14:textId="77777777" w:rsidR="00A031A6" w:rsidRDefault="00916FD0">
            <w:pPr>
              <w:jc w:val="right"/>
              <w:rPr>
                <w:color w:val="000000"/>
                <w:sz w:val="14"/>
                <w:szCs w:val="14"/>
              </w:rPr>
            </w:pPr>
            <w:r>
              <w:rPr>
                <w:color w:val="000000"/>
                <w:sz w:val="14"/>
                <w:szCs w:val="14"/>
              </w:rPr>
              <w:t>348,569,019</w:t>
            </w:r>
          </w:p>
        </w:tc>
        <w:tc>
          <w:tcPr>
            <w:tcW w:w="1373" w:type="dxa"/>
            <w:gridSpan w:val="2"/>
            <w:tcBorders>
              <w:top w:val="nil"/>
              <w:left w:val="nil"/>
              <w:bottom w:val="nil"/>
              <w:right w:val="nil"/>
            </w:tcBorders>
            <w:shd w:val="clear" w:color="auto" w:fill="FFFFFF"/>
            <w:vAlign w:val="bottom"/>
          </w:tcPr>
          <w:p w14:paraId="2AF8E4A8" w14:textId="77777777" w:rsidR="00A031A6" w:rsidRDefault="00916FD0">
            <w:pPr>
              <w:jc w:val="right"/>
              <w:rPr>
                <w:color w:val="000000"/>
                <w:sz w:val="14"/>
                <w:szCs w:val="14"/>
              </w:rPr>
            </w:pPr>
            <w:r>
              <w:rPr>
                <w:color w:val="000000"/>
                <w:sz w:val="14"/>
                <w:szCs w:val="14"/>
              </w:rPr>
              <w:t>72%</w:t>
            </w:r>
          </w:p>
        </w:tc>
        <w:tc>
          <w:tcPr>
            <w:tcW w:w="1355" w:type="dxa"/>
            <w:gridSpan w:val="2"/>
            <w:tcBorders>
              <w:top w:val="nil"/>
              <w:left w:val="nil"/>
              <w:bottom w:val="nil"/>
              <w:right w:val="nil"/>
            </w:tcBorders>
            <w:shd w:val="clear" w:color="auto" w:fill="FFFFFF"/>
            <w:vAlign w:val="bottom"/>
          </w:tcPr>
          <w:p w14:paraId="2968C508" w14:textId="77777777" w:rsidR="00A031A6" w:rsidRDefault="00916FD0">
            <w:pPr>
              <w:jc w:val="right"/>
              <w:rPr>
                <w:color w:val="000000"/>
                <w:sz w:val="14"/>
                <w:szCs w:val="14"/>
              </w:rPr>
            </w:pPr>
            <w:r>
              <w:rPr>
                <w:color w:val="000000"/>
                <w:sz w:val="14"/>
                <w:szCs w:val="14"/>
              </w:rPr>
              <w:t>133%</w:t>
            </w:r>
          </w:p>
        </w:tc>
      </w:tr>
      <w:tr w:rsidR="00A031A6" w14:paraId="0D32E401" w14:textId="77777777">
        <w:trPr>
          <w:trHeight w:val="57"/>
        </w:trPr>
        <w:tc>
          <w:tcPr>
            <w:tcW w:w="1552" w:type="dxa"/>
            <w:tcBorders>
              <w:top w:val="nil"/>
              <w:left w:val="nil"/>
              <w:bottom w:val="nil"/>
              <w:right w:val="nil"/>
            </w:tcBorders>
            <w:shd w:val="clear" w:color="auto" w:fill="FFFFFF"/>
            <w:vAlign w:val="bottom"/>
          </w:tcPr>
          <w:p w14:paraId="58F275D6" w14:textId="77777777" w:rsidR="00A031A6" w:rsidRDefault="00916FD0">
            <w:pPr>
              <w:ind w:left="321" w:right="-30"/>
              <w:jc w:val="right"/>
              <w:rPr>
                <w:color w:val="000000"/>
                <w:sz w:val="14"/>
                <w:szCs w:val="14"/>
              </w:rPr>
            </w:pPr>
            <w:r>
              <w:rPr>
                <w:color w:val="000000"/>
                <w:sz w:val="14"/>
                <w:szCs w:val="14"/>
              </w:rPr>
              <w:t>2025</w:t>
            </w:r>
          </w:p>
        </w:tc>
        <w:tc>
          <w:tcPr>
            <w:tcW w:w="1391" w:type="dxa"/>
            <w:gridSpan w:val="3"/>
            <w:tcBorders>
              <w:top w:val="nil"/>
              <w:left w:val="nil"/>
              <w:bottom w:val="nil"/>
              <w:right w:val="nil"/>
            </w:tcBorders>
            <w:shd w:val="clear" w:color="auto" w:fill="FFFFFF"/>
            <w:vAlign w:val="bottom"/>
          </w:tcPr>
          <w:p w14:paraId="689F66D9" w14:textId="77777777" w:rsidR="00A031A6" w:rsidRDefault="00916FD0">
            <w:pPr>
              <w:ind w:left="348" w:right="118"/>
              <w:jc w:val="right"/>
              <w:rPr>
                <w:color w:val="000000"/>
                <w:sz w:val="14"/>
                <w:szCs w:val="14"/>
              </w:rPr>
            </w:pPr>
            <w:r>
              <w:rPr>
                <w:color w:val="000000"/>
                <w:sz w:val="14"/>
                <w:szCs w:val="14"/>
              </w:rPr>
              <w:t>499,720,202</w:t>
            </w:r>
          </w:p>
        </w:tc>
        <w:tc>
          <w:tcPr>
            <w:tcW w:w="1368" w:type="dxa"/>
            <w:gridSpan w:val="2"/>
            <w:tcBorders>
              <w:top w:val="nil"/>
              <w:left w:val="nil"/>
              <w:bottom w:val="nil"/>
              <w:right w:val="nil"/>
            </w:tcBorders>
            <w:shd w:val="clear" w:color="auto" w:fill="FFFFFF"/>
            <w:vAlign w:val="bottom"/>
          </w:tcPr>
          <w:p w14:paraId="46397BBB" w14:textId="77777777" w:rsidR="00A031A6" w:rsidRDefault="00916FD0">
            <w:pPr>
              <w:jc w:val="right"/>
              <w:rPr>
                <w:color w:val="000000"/>
                <w:sz w:val="14"/>
                <w:szCs w:val="14"/>
              </w:rPr>
            </w:pPr>
            <w:r>
              <w:rPr>
                <w:color w:val="000000"/>
                <w:sz w:val="14"/>
                <w:szCs w:val="14"/>
              </w:rPr>
              <w:t>481,302,728</w:t>
            </w:r>
          </w:p>
        </w:tc>
        <w:tc>
          <w:tcPr>
            <w:tcW w:w="1371" w:type="dxa"/>
            <w:gridSpan w:val="2"/>
            <w:tcBorders>
              <w:top w:val="nil"/>
              <w:left w:val="nil"/>
              <w:bottom w:val="nil"/>
              <w:right w:val="nil"/>
            </w:tcBorders>
            <w:shd w:val="clear" w:color="auto" w:fill="FFFFFF"/>
            <w:vAlign w:val="bottom"/>
          </w:tcPr>
          <w:p w14:paraId="264C9A2A" w14:textId="77777777" w:rsidR="00A031A6" w:rsidRDefault="00916FD0">
            <w:pPr>
              <w:jc w:val="right"/>
              <w:rPr>
                <w:color w:val="000000"/>
                <w:sz w:val="14"/>
                <w:szCs w:val="14"/>
              </w:rPr>
            </w:pPr>
            <w:r>
              <w:rPr>
                <w:color w:val="000000"/>
                <w:sz w:val="14"/>
                <w:szCs w:val="14"/>
              </w:rPr>
              <w:t>172,434,347</w:t>
            </w:r>
          </w:p>
        </w:tc>
        <w:tc>
          <w:tcPr>
            <w:tcW w:w="1510" w:type="dxa"/>
            <w:gridSpan w:val="2"/>
            <w:tcBorders>
              <w:top w:val="nil"/>
              <w:left w:val="nil"/>
              <w:bottom w:val="nil"/>
              <w:right w:val="nil"/>
            </w:tcBorders>
            <w:shd w:val="clear" w:color="auto" w:fill="FFFFFF"/>
            <w:vAlign w:val="bottom"/>
          </w:tcPr>
          <w:p w14:paraId="63C2FFF1" w14:textId="77777777" w:rsidR="00A031A6" w:rsidRDefault="00916FD0">
            <w:pPr>
              <w:jc w:val="right"/>
              <w:rPr>
                <w:color w:val="000000"/>
                <w:sz w:val="14"/>
                <w:szCs w:val="14"/>
              </w:rPr>
            </w:pPr>
            <w:r>
              <w:rPr>
                <w:color w:val="000000"/>
                <w:sz w:val="14"/>
                <w:szCs w:val="14"/>
              </w:rPr>
              <w:t>42,474,787</w:t>
            </w:r>
          </w:p>
        </w:tc>
        <w:tc>
          <w:tcPr>
            <w:tcW w:w="1362" w:type="dxa"/>
            <w:gridSpan w:val="3"/>
            <w:tcBorders>
              <w:top w:val="nil"/>
              <w:left w:val="nil"/>
              <w:bottom w:val="nil"/>
              <w:right w:val="nil"/>
            </w:tcBorders>
            <w:shd w:val="clear" w:color="auto" w:fill="FFFFFF"/>
            <w:vAlign w:val="bottom"/>
          </w:tcPr>
          <w:p w14:paraId="4AE1B3B7" w14:textId="77777777" w:rsidR="00A031A6" w:rsidRDefault="00916FD0">
            <w:pPr>
              <w:jc w:val="right"/>
              <w:rPr>
                <w:color w:val="000000"/>
                <w:sz w:val="14"/>
                <w:szCs w:val="14"/>
              </w:rPr>
            </w:pPr>
            <w:r>
              <w:rPr>
                <w:color w:val="000000"/>
                <w:sz w:val="14"/>
                <w:szCs w:val="14"/>
              </w:rPr>
              <w:t>111,542,086</w:t>
            </w:r>
          </w:p>
        </w:tc>
        <w:tc>
          <w:tcPr>
            <w:tcW w:w="1371" w:type="dxa"/>
            <w:gridSpan w:val="2"/>
            <w:tcBorders>
              <w:top w:val="nil"/>
              <w:left w:val="nil"/>
              <w:bottom w:val="nil"/>
              <w:right w:val="nil"/>
            </w:tcBorders>
            <w:shd w:val="clear" w:color="auto" w:fill="FFFFFF"/>
            <w:vAlign w:val="bottom"/>
          </w:tcPr>
          <w:p w14:paraId="4FB8544A" w14:textId="77777777" w:rsidR="00A031A6" w:rsidRDefault="00916FD0">
            <w:pPr>
              <w:jc w:val="right"/>
              <w:rPr>
                <w:color w:val="000000"/>
                <w:sz w:val="14"/>
                <w:szCs w:val="14"/>
              </w:rPr>
            </w:pPr>
            <w:r>
              <w:rPr>
                <w:color w:val="000000"/>
                <w:sz w:val="14"/>
                <w:szCs w:val="14"/>
              </w:rPr>
              <w:t>90,258,922</w:t>
            </w:r>
          </w:p>
        </w:tc>
        <w:tc>
          <w:tcPr>
            <w:tcW w:w="1372" w:type="dxa"/>
            <w:gridSpan w:val="2"/>
            <w:tcBorders>
              <w:top w:val="nil"/>
              <w:left w:val="nil"/>
              <w:bottom w:val="nil"/>
              <w:right w:val="nil"/>
            </w:tcBorders>
            <w:shd w:val="clear" w:color="auto" w:fill="FFFFFF"/>
            <w:vAlign w:val="bottom"/>
          </w:tcPr>
          <w:p w14:paraId="6D86686E" w14:textId="77777777" w:rsidR="00A031A6" w:rsidRDefault="00916FD0">
            <w:pPr>
              <w:jc w:val="right"/>
              <w:rPr>
                <w:color w:val="000000"/>
                <w:sz w:val="14"/>
                <w:szCs w:val="14"/>
              </w:rPr>
            </w:pPr>
            <w:r>
              <w:rPr>
                <w:color w:val="000000"/>
                <w:sz w:val="14"/>
                <w:szCs w:val="14"/>
              </w:rPr>
              <w:t>18%</w:t>
            </w:r>
          </w:p>
        </w:tc>
        <w:tc>
          <w:tcPr>
            <w:tcW w:w="1373" w:type="dxa"/>
            <w:gridSpan w:val="2"/>
            <w:tcBorders>
              <w:top w:val="nil"/>
              <w:left w:val="nil"/>
              <w:bottom w:val="nil"/>
              <w:right w:val="nil"/>
            </w:tcBorders>
            <w:shd w:val="clear" w:color="auto" w:fill="FFFFFF"/>
            <w:vAlign w:val="bottom"/>
          </w:tcPr>
          <w:p w14:paraId="58614416" w14:textId="77777777" w:rsidR="00A031A6" w:rsidRDefault="00916FD0">
            <w:pPr>
              <w:jc w:val="right"/>
              <w:rPr>
                <w:color w:val="000000"/>
                <w:sz w:val="14"/>
                <w:szCs w:val="14"/>
              </w:rPr>
            </w:pPr>
            <w:r>
              <w:rPr>
                <w:color w:val="000000"/>
                <w:sz w:val="14"/>
                <w:szCs w:val="14"/>
              </w:rPr>
              <w:t>409,461,280</w:t>
            </w:r>
          </w:p>
        </w:tc>
        <w:tc>
          <w:tcPr>
            <w:tcW w:w="1373" w:type="dxa"/>
            <w:gridSpan w:val="2"/>
            <w:tcBorders>
              <w:top w:val="nil"/>
              <w:left w:val="nil"/>
              <w:bottom w:val="nil"/>
              <w:right w:val="nil"/>
            </w:tcBorders>
            <w:shd w:val="clear" w:color="auto" w:fill="FFFFFF"/>
            <w:vAlign w:val="bottom"/>
          </w:tcPr>
          <w:p w14:paraId="267DF136" w14:textId="77777777" w:rsidR="00A031A6" w:rsidRDefault="00916FD0">
            <w:pPr>
              <w:jc w:val="right"/>
              <w:rPr>
                <w:color w:val="000000"/>
                <w:sz w:val="14"/>
                <w:szCs w:val="14"/>
              </w:rPr>
            </w:pPr>
            <w:r>
              <w:rPr>
                <w:color w:val="000000"/>
                <w:sz w:val="14"/>
                <w:szCs w:val="14"/>
              </w:rPr>
              <w:t>82%</w:t>
            </w:r>
          </w:p>
        </w:tc>
        <w:tc>
          <w:tcPr>
            <w:tcW w:w="1355" w:type="dxa"/>
            <w:gridSpan w:val="2"/>
            <w:tcBorders>
              <w:top w:val="nil"/>
              <w:left w:val="nil"/>
              <w:bottom w:val="nil"/>
              <w:right w:val="nil"/>
            </w:tcBorders>
            <w:shd w:val="clear" w:color="auto" w:fill="FFFFFF"/>
            <w:vAlign w:val="bottom"/>
          </w:tcPr>
          <w:p w14:paraId="489B69B3" w14:textId="77777777" w:rsidR="00A031A6" w:rsidRDefault="00916FD0">
            <w:pPr>
              <w:jc w:val="right"/>
              <w:rPr>
                <w:color w:val="000000"/>
                <w:sz w:val="14"/>
                <w:szCs w:val="14"/>
              </w:rPr>
            </w:pPr>
            <w:r>
              <w:rPr>
                <w:color w:val="000000"/>
                <w:sz w:val="14"/>
                <w:szCs w:val="14"/>
              </w:rPr>
              <w:t>137%</w:t>
            </w:r>
          </w:p>
        </w:tc>
      </w:tr>
      <w:tr w:rsidR="00A031A6" w14:paraId="1E9AE857" w14:textId="77777777">
        <w:trPr>
          <w:trHeight w:val="57"/>
        </w:trPr>
        <w:tc>
          <w:tcPr>
            <w:tcW w:w="1552" w:type="dxa"/>
            <w:tcBorders>
              <w:top w:val="nil"/>
              <w:left w:val="nil"/>
              <w:bottom w:val="nil"/>
              <w:right w:val="nil"/>
            </w:tcBorders>
            <w:shd w:val="clear" w:color="auto" w:fill="FFFFFF"/>
            <w:vAlign w:val="bottom"/>
          </w:tcPr>
          <w:p w14:paraId="7461A405" w14:textId="77777777" w:rsidR="00A031A6" w:rsidRDefault="00916FD0">
            <w:pPr>
              <w:ind w:left="321" w:right="-30"/>
              <w:jc w:val="right"/>
              <w:rPr>
                <w:color w:val="000000"/>
                <w:sz w:val="14"/>
                <w:szCs w:val="14"/>
              </w:rPr>
            </w:pPr>
            <w:r>
              <w:rPr>
                <w:color w:val="000000"/>
                <w:sz w:val="14"/>
                <w:szCs w:val="14"/>
              </w:rPr>
              <w:t>2026</w:t>
            </w:r>
          </w:p>
        </w:tc>
        <w:tc>
          <w:tcPr>
            <w:tcW w:w="1391" w:type="dxa"/>
            <w:gridSpan w:val="3"/>
            <w:tcBorders>
              <w:top w:val="nil"/>
              <w:left w:val="nil"/>
              <w:bottom w:val="nil"/>
              <w:right w:val="nil"/>
            </w:tcBorders>
            <w:shd w:val="clear" w:color="auto" w:fill="FFFFFF"/>
            <w:vAlign w:val="bottom"/>
          </w:tcPr>
          <w:p w14:paraId="60DE53B8" w14:textId="77777777" w:rsidR="00A031A6" w:rsidRDefault="00916FD0">
            <w:pPr>
              <w:ind w:left="348" w:right="118"/>
              <w:jc w:val="right"/>
              <w:rPr>
                <w:color w:val="000000"/>
                <w:sz w:val="14"/>
                <w:szCs w:val="14"/>
              </w:rPr>
            </w:pPr>
            <w:r>
              <w:rPr>
                <w:color w:val="000000"/>
                <w:sz w:val="14"/>
                <w:szCs w:val="14"/>
              </w:rPr>
              <w:t>518,103,989</w:t>
            </w:r>
          </w:p>
        </w:tc>
        <w:tc>
          <w:tcPr>
            <w:tcW w:w="1368" w:type="dxa"/>
            <w:gridSpan w:val="2"/>
            <w:tcBorders>
              <w:top w:val="nil"/>
              <w:left w:val="nil"/>
              <w:bottom w:val="nil"/>
              <w:right w:val="nil"/>
            </w:tcBorders>
            <w:shd w:val="clear" w:color="auto" w:fill="FFFFFF"/>
            <w:vAlign w:val="bottom"/>
          </w:tcPr>
          <w:p w14:paraId="4C3E9614" w14:textId="77777777" w:rsidR="00A031A6" w:rsidRDefault="00916FD0">
            <w:pPr>
              <w:jc w:val="right"/>
              <w:rPr>
                <w:color w:val="000000"/>
                <w:sz w:val="14"/>
                <w:szCs w:val="14"/>
              </w:rPr>
            </w:pPr>
            <w:r>
              <w:rPr>
                <w:color w:val="000000"/>
                <w:sz w:val="14"/>
                <w:szCs w:val="14"/>
              </w:rPr>
              <w:t>499,720,202</w:t>
            </w:r>
          </w:p>
        </w:tc>
        <w:tc>
          <w:tcPr>
            <w:tcW w:w="1371" w:type="dxa"/>
            <w:gridSpan w:val="2"/>
            <w:tcBorders>
              <w:top w:val="nil"/>
              <w:left w:val="nil"/>
              <w:bottom w:val="nil"/>
              <w:right w:val="nil"/>
            </w:tcBorders>
            <w:shd w:val="clear" w:color="auto" w:fill="FFFFFF"/>
            <w:vAlign w:val="bottom"/>
          </w:tcPr>
          <w:p w14:paraId="18106E1C" w14:textId="77777777" w:rsidR="00A031A6" w:rsidRDefault="00916FD0">
            <w:pPr>
              <w:jc w:val="right"/>
              <w:rPr>
                <w:color w:val="000000"/>
                <w:sz w:val="14"/>
                <w:szCs w:val="14"/>
              </w:rPr>
            </w:pPr>
            <w:r>
              <w:rPr>
                <w:color w:val="000000"/>
                <w:sz w:val="14"/>
                <w:szCs w:val="14"/>
              </w:rPr>
              <w:t>178,294,251</w:t>
            </w:r>
          </w:p>
        </w:tc>
        <w:tc>
          <w:tcPr>
            <w:tcW w:w="1510" w:type="dxa"/>
            <w:gridSpan w:val="2"/>
            <w:tcBorders>
              <w:top w:val="nil"/>
              <w:left w:val="nil"/>
              <w:bottom w:val="nil"/>
              <w:right w:val="nil"/>
            </w:tcBorders>
            <w:shd w:val="clear" w:color="auto" w:fill="FFFFFF"/>
            <w:vAlign w:val="bottom"/>
          </w:tcPr>
          <w:p w14:paraId="495CF0C7" w14:textId="77777777" w:rsidR="00A031A6" w:rsidRDefault="00916FD0">
            <w:pPr>
              <w:jc w:val="right"/>
              <w:rPr>
                <w:color w:val="000000"/>
                <w:sz w:val="14"/>
                <w:szCs w:val="14"/>
              </w:rPr>
            </w:pPr>
            <w:r>
              <w:rPr>
                <w:color w:val="000000"/>
                <w:sz w:val="14"/>
                <w:szCs w:val="14"/>
              </w:rPr>
              <w:t>28,882,855</w:t>
            </w:r>
          </w:p>
        </w:tc>
        <w:tc>
          <w:tcPr>
            <w:tcW w:w="1362" w:type="dxa"/>
            <w:gridSpan w:val="3"/>
            <w:tcBorders>
              <w:top w:val="nil"/>
              <w:left w:val="nil"/>
              <w:bottom w:val="nil"/>
              <w:right w:val="nil"/>
            </w:tcBorders>
            <w:shd w:val="clear" w:color="auto" w:fill="FFFFFF"/>
            <w:vAlign w:val="bottom"/>
          </w:tcPr>
          <w:p w14:paraId="0D8DDC83" w14:textId="77777777" w:rsidR="00A031A6" w:rsidRDefault="00916FD0">
            <w:pPr>
              <w:jc w:val="right"/>
              <w:rPr>
                <w:color w:val="000000"/>
                <w:sz w:val="14"/>
                <w:szCs w:val="14"/>
              </w:rPr>
            </w:pPr>
            <w:r>
              <w:rPr>
                <w:color w:val="000000"/>
                <w:sz w:val="14"/>
                <w:szCs w:val="14"/>
              </w:rPr>
              <w:t>131,027,610</w:t>
            </w:r>
          </w:p>
        </w:tc>
        <w:tc>
          <w:tcPr>
            <w:tcW w:w="1371" w:type="dxa"/>
            <w:gridSpan w:val="2"/>
            <w:tcBorders>
              <w:top w:val="nil"/>
              <w:left w:val="nil"/>
              <w:bottom w:val="nil"/>
              <w:right w:val="nil"/>
            </w:tcBorders>
            <w:shd w:val="clear" w:color="auto" w:fill="FFFFFF"/>
            <w:vAlign w:val="bottom"/>
          </w:tcPr>
          <w:p w14:paraId="16513561" w14:textId="77777777" w:rsidR="00A031A6" w:rsidRDefault="00916FD0">
            <w:pPr>
              <w:jc w:val="right"/>
              <w:rPr>
                <w:color w:val="000000"/>
                <w:sz w:val="14"/>
                <w:szCs w:val="14"/>
              </w:rPr>
            </w:pPr>
            <w:r>
              <w:rPr>
                <w:color w:val="000000"/>
                <w:sz w:val="14"/>
                <w:szCs w:val="14"/>
              </w:rPr>
              <w:t>61,376,067</w:t>
            </w:r>
          </w:p>
        </w:tc>
        <w:tc>
          <w:tcPr>
            <w:tcW w:w="1372" w:type="dxa"/>
            <w:gridSpan w:val="2"/>
            <w:tcBorders>
              <w:top w:val="nil"/>
              <w:left w:val="nil"/>
              <w:bottom w:val="nil"/>
              <w:right w:val="nil"/>
            </w:tcBorders>
            <w:shd w:val="clear" w:color="auto" w:fill="FFFFFF"/>
            <w:vAlign w:val="bottom"/>
          </w:tcPr>
          <w:p w14:paraId="44798F06" w14:textId="77777777" w:rsidR="00A031A6" w:rsidRDefault="00916FD0">
            <w:pPr>
              <w:jc w:val="right"/>
              <w:rPr>
                <w:color w:val="000000"/>
                <w:sz w:val="14"/>
                <w:szCs w:val="14"/>
              </w:rPr>
            </w:pPr>
            <w:r>
              <w:rPr>
                <w:color w:val="000000"/>
                <w:sz w:val="14"/>
                <w:szCs w:val="14"/>
              </w:rPr>
              <w:t>12%</w:t>
            </w:r>
          </w:p>
        </w:tc>
        <w:tc>
          <w:tcPr>
            <w:tcW w:w="1373" w:type="dxa"/>
            <w:gridSpan w:val="2"/>
            <w:tcBorders>
              <w:top w:val="nil"/>
              <w:left w:val="nil"/>
              <w:bottom w:val="nil"/>
              <w:right w:val="nil"/>
            </w:tcBorders>
            <w:shd w:val="clear" w:color="auto" w:fill="FFFFFF"/>
            <w:vAlign w:val="bottom"/>
          </w:tcPr>
          <w:p w14:paraId="0670A948" w14:textId="77777777" w:rsidR="00A031A6" w:rsidRDefault="00916FD0">
            <w:pPr>
              <w:jc w:val="right"/>
              <w:rPr>
                <w:color w:val="000000"/>
                <w:sz w:val="14"/>
                <w:szCs w:val="14"/>
              </w:rPr>
            </w:pPr>
            <w:r>
              <w:rPr>
                <w:color w:val="000000"/>
                <w:sz w:val="14"/>
                <w:szCs w:val="14"/>
              </w:rPr>
              <w:t>456,727,922</w:t>
            </w:r>
          </w:p>
        </w:tc>
        <w:tc>
          <w:tcPr>
            <w:tcW w:w="1373" w:type="dxa"/>
            <w:gridSpan w:val="2"/>
            <w:tcBorders>
              <w:top w:val="nil"/>
              <w:left w:val="nil"/>
              <w:bottom w:val="nil"/>
              <w:right w:val="nil"/>
            </w:tcBorders>
            <w:shd w:val="clear" w:color="auto" w:fill="FFFFFF"/>
            <w:vAlign w:val="bottom"/>
          </w:tcPr>
          <w:p w14:paraId="2B1AE94D" w14:textId="77777777" w:rsidR="00A031A6" w:rsidRDefault="00916FD0">
            <w:pPr>
              <w:jc w:val="right"/>
              <w:rPr>
                <w:color w:val="000000"/>
                <w:sz w:val="14"/>
                <w:szCs w:val="14"/>
              </w:rPr>
            </w:pPr>
            <w:r>
              <w:rPr>
                <w:color w:val="000000"/>
                <w:sz w:val="14"/>
                <w:szCs w:val="14"/>
              </w:rPr>
              <w:t>88%</w:t>
            </w:r>
          </w:p>
        </w:tc>
        <w:tc>
          <w:tcPr>
            <w:tcW w:w="1355" w:type="dxa"/>
            <w:gridSpan w:val="2"/>
            <w:tcBorders>
              <w:top w:val="nil"/>
              <w:left w:val="nil"/>
              <w:bottom w:val="nil"/>
              <w:right w:val="nil"/>
            </w:tcBorders>
            <w:shd w:val="clear" w:color="auto" w:fill="FFFFFF"/>
            <w:vAlign w:val="bottom"/>
          </w:tcPr>
          <w:p w14:paraId="42750703" w14:textId="77777777" w:rsidR="00A031A6" w:rsidRDefault="00916FD0">
            <w:pPr>
              <w:jc w:val="right"/>
              <w:rPr>
                <w:color w:val="000000"/>
                <w:sz w:val="14"/>
                <w:szCs w:val="14"/>
              </w:rPr>
            </w:pPr>
            <w:r>
              <w:rPr>
                <w:color w:val="000000"/>
                <w:sz w:val="14"/>
                <w:szCs w:val="14"/>
              </w:rPr>
              <w:t>141%</w:t>
            </w:r>
          </w:p>
        </w:tc>
      </w:tr>
      <w:tr w:rsidR="00A031A6" w14:paraId="20D1CC8B" w14:textId="77777777">
        <w:trPr>
          <w:trHeight w:val="57"/>
        </w:trPr>
        <w:tc>
          <w:tcPr>
            <w:tcW w:w="1552" w:type="dxa"/>
            <w:tcBorders>
              <w:top w:val="nil"/>
              <w:left w:val="nil"/>
              <w:bottom w:val="nil"/>
              <w:right w:val="nil"/>
            </w:tcBorders>
            <w:shd w:val="clear" w:color="auto" w:fill="FFFFFF"/>
            <w:vAlign w:val="bottom"/>
          </w:tcPr>
          <w:p w14:paraId="37D01AD0" w14:textId="77777777" w:rsidR="00A031A6" w:rsidRDefault="00916FD0">
            <w:pPr>
              <w:ind w:left="321" w:right="-30"/>
              <w:jc w:val="right"/>
              <w:rPr>
                <w:color w:val="000000"/>
                <w:sz w:val="14"/>
                <w:szCs w:val="14"/>
              </w:rPr>
            </w:pPr>
            <w:r>
              <w:rPr>
                <w:color w:val="000000"/>
                <w:sz w:val="14"/>
                <w:szCs w:val="14"/>
              </w:rPr>
              <w:t>2027</w:t>
            </w:r>
          </w:p>
        </w:tc>
        <w:tc>
          <w:tcPr>
            <w:tcW w:w="1391" w:type="dxa"/>
            <w:gridSpan w:val="3"/>
            <w:tcBorders>
              <w:top w:val="nil"/>
              <w:left w:val="nil"/>
              <w:bottom w:val="nil"/>
              <w:right w:val="nil"/>
            </w:tcBorders>
            <w:shd w:val="clear" w:color="auto" w:fill="FFFFFF"/>
            <w:vAlign w:val="bottom"/>
          </w:tcPr>
          <w:p w14:paraId="45A162CC" w14:textId="77777777" w:rsidR="00A031A6" w:rsidRDefault="00916FD0">
            <w:pPr>
              <w:ind w:left="348" w:right="118"/>
              <w:jc w:val="right"/>
              <w:rPr>
                <w:color w:val="000000"/>
                <w:sz w:val="14"/>
                <w:szCs w:val="14"/>
              </w:rPr>
            </w:pPr>
            <w:r>
              <w:rPr>
                <w:color w:val="000000"/>
                <w:sz w:val="14"/>
                <w:szCs w:val="14"/>
              </w:rPr>
              <w:t>536,664,006</w:t>
            </w:r>
          </w:p>
        </w:tc>
        <w:tc>
          <w:tcPr>
            <w:tcW w:w="1368" w:type="dxa"/>
            <w:gridSpan w:val="2"/>
            <w:tcBorders>
              <w:top w:val="nil"/>
              <w:left w:val="nil"/>
              <w:bottom w:val="nil"/>
              <w:right w:val="nil"/>
            </w:tcBorders>
            <w:shd w:val="clear" w:color="auto" w:fill="FFFFFF"/>
            <w:vAlign w:val="bottom"/>
          </w:tcPr>
          <w:p w14:paraId="5B57FFA7" w14:textId="77777777" w:rsidR="00A031A6" w:rsidRDefault="00916FD0">
            <w:pPr>
              <w:jc w:val="right"/>
              <w:rPr>
                <w:color w:val="000000"/>
                <w:sz w:val="14"/>
                <w:szCs w:val="14"/>
              </w:rPr>
            </w:pPr>
            <w:r>
              <w:rPr>
                <w:color w:val="000000"/>
                <w:sz w:val="14"/>
                <w:szCs w:val="14"/>
              </w:rPr>
              <w:t>518,103,989</w:t>
            </w:r>
          </w:p>
        </w:tc>
        <w:tc>
          <w:tcPr>
            <w:tcW w:w="1371" w:type="dxa"/>
            <w:gridSpan w:val="2"/>
            <w:tcBorders>
              <w:top w:val="nil"/>
              <w:left w:val="nil"/>
              <w:bottom w:val="nil"/>
              <w:right w:val="nil"/>
            </w:tcBorders>
            <w:shd w:val="clear" w:color="auto" w:fill="FFFFFF"/>
            <w:vAlign w:val="bottom"/>
          </w:tcPr>
          <w:p w14:paraId="59F797D0" w14:textId="77777777" w:rsidR="00A031A6" w:rsidRDefault="00916FD0">
            <w:pPr>
              <w:jc w:val="right"/>
              <w:rPr>
                <w:color w:val="000000"/>
                <w:sz w:val="14"/>
                <w:szCs w:val="14"/>
              </w:rPr>
            </w:pPr>
            <w:r>
              <w:rPr>
                <w:color w:val="000000"/>
                <w:sz w:val="14"/>
                <w:szCs w:val="14"/>
              </w:rPr>
              <w:t>184,353,294</w:t>
            </w:r>
          </w:p>
        </w:tc>
        <w:tc>
          <w:tcPr>
            <w:tcW w:w="1510" w:type="dxa"/>
            <w:gridSpan w:val="2"/>
            <w:tcBorders>
              <w:top w:val="nil"/>
              <w:left w:val="nil"/>
              <w:bottom w:val="nil"/>
              <w:right w:val="nil"/>
            </w:tcBorders>
            <w:shd w:val="clear" w:color="auto" w:fill="FFFFFF"/>
            <w:vAlign w:val="bottom"/>
          </w:tcPr>
          <w:p w14:paraId="0A87E0DB" w14:textId="77777777" w:rsidR="00A031A6" w:rsidRDefault="00916FD0">
            <w:pPr>
              <w:jc w:val="right"/>
              <w:rPr>
                <w:color w:val="000000"/>
                <w:sz w:val="14"/>
                <w:szCs w:val="14"/>
              </w:rPr>
            </w:pPr>
            <w:r>
              <w:rPr>
                <w:color w:val="000000"/>
                <w:sz w:val="14"/>
                <w:szCs w:val="14"/>
              </w:rPr>
              <w:t>19,640,341</w:t>
            </w:r>
          </w:p>
        </w:tc>
        <w:tc>
          <w:tcPr>
            <w:tcW w:w="1362" w:type="dxa"/>
            <w:gridSpan w:val="3"/>
            <w:tcBorders>
              <w:top w:val="nil"/>
              <w:left w:val="nil"/>
              <w:bottom w:val="nil"/>
              <w:right w:val="nil"/>
            </w:tcBorders>
            <w:shd w:val="clear" w:color="auto" w:fill="FFFFFF"/>
            <w:vAlign w:val="bottom"/>
          </w:tcPr>
          <w:p w14:paraId="19C9E051" w14:textId="77777777" w:rsidR="00A031A6" w:rsidRDefault="00916FD0">
            <w:pPr>
              <w:jc w:val="right"/>
              <w:rPr>
                <w:color w:val="000000"/>
                <w:sz w:val="14"/>
                <w:szCs w:val="14"/>
              </w:rPr>
            </w:pPr>
            <w:r>
              <w:rPr>
                <w:color w:val="000000"/>
                <w:sz w:val="14"/>
                <w:szCs w:val="14"/>
              </w:rPr>
              <w:t>146,152,935</w:t>
            </w:r>
          </w:p>
        </w:tc>
        <w:tc>
          <w:tcPr>
            <w:tcW w:w="1371" w:type="dxa"/>
            <w:gridSpan w:val="2"/>
            <w:tcBorders>
              <w:top w:val="nil"/>
              <w:left w:val="nil"/>
              <w:bottom w:val="nil"/>
              <w:right w:val="nil"/>
            </w:tcBorders>
            <w:shd w:val="clear" w:color="auto" w:fill="FFFFFF"/>
            <w:vAlign w:val="bottom"/>
          </w:tcPr>
          <w:p w14:paraId="70AF4416" w14:textId="77777777" w:rsidR="00A031A6" w:rsidRDefault="00916FD0">
            <w:pPr>
              <w:jc w:val="right"/>
              <w:rPr>
                <w:color w:val="000000"/>
                <w:sz w:val="14"/>
                <w:szCs w:val="14"/>
              </w:rPr>
            </w:pPr>
            <w:r>
              <w:rPr>
                <w:color w:val="000000"/>
                <w:sz w:val="14"/>
                <w:szCs w:val="14"/>
              </w:rPr>
              <w:t>41,735,726</w:t>
            </w:r>
          </w:p>
        </w:tc>
        <w:tc>
          <w:tcPr>
            <w:tcW w:w="1372" w:type="dxa"/>
            <w:gridSpan w:val="2"/>
            <w:tcBorders>
              <w:top w:val="nil"/>
              <w:left w:val="nil"/>
              <w:bottom w:val="nil"/>
              <w:right w:val="nil"/>
            </w:tcBorders>
            <w:shd w:val="clear" w:color="auto" w:fill="FFFFFF"/>
            <w:vAlign w:val="bottom"/>
          </w:tcPr>
          <w:p w14:paraId="0ED3F6D5" w14:textId="77777777" w:rsidR="00A031A6" w:rsidRDefault="00916FD0">
            <w:pPr>
              <w:jc w:val="right"/>
              <w:rPr>
                <w:color w:val="000000"/>
                <w:sz w:val="14"/>
                <w:szCs w:val="14"/>
              </w:rPr>
            </w:pPr>
            <w:r>
              <w:rPr>
                <w:color w:val="000000"/>
                <w:sz w:val="14"/>
                <w:szCs w:val="14"/>
              </w:rPr>
              <w:t>8%</w:t>
            </w:r>
          </w:p>
        </w:tc>
        <w:tc>
          <w:tcPr>
            <w:tcW w:w="1373" w:type="dxa"/>
            <w:gridSpan w:val="2"/>
            <w:tcBorders>
              <w:top w:val="nil"/>
              <w:left w:val="nil"/>
              <w:bottom w:val="nil"/>
              <w:right w:val="nil"/>
            </w:tcBorders>
            <w:shd w:val="clear" w:color="auto" w:fill="FFFFFF"/>
            <w:vAlign w:val="bottom"/>
          </w:tcPr>
          <w:p w14:paraId="74B10026" w14:textId="77777777" w:rsidR="00A031A6" w:rsidRDefault="00916FD0">
            <w:pPr>
              <w:jc w:val="right"/>
              <w:rPr>
                <w:color w:val="000000"/>
                <w:sz w:val="14"/>
                <w:szCs w:val="14"/>
              </w:rPr>
            </w:pPr>
            <w:r>
              <w:rPr>
                <w:color w:val="000000"/>
                <w:sz w:val="14"/>
                <w:szCs w:val="14"/>
              </w:rPr>
              <w:t>494,928,281</w:t>
            </w:r>
          </w:p>
        </w:tc>
        <w:tc>
          <w:tcPr>
            <w:tcW w:w="1373" w:type="dxa"/>
            <w:gridSpan w:val="2"/>
            <w:tcBorders>
              <w:top w:val="nil"/>
              <w:left w:val="nil"/>
              <w:bottom w:val="nil"/>
              <w:right w:val="nil"/>
            </w:tcBorders>
            <w:shd w:val="clear" w:color="auto" w:fill="FFFFFF"/>
            <w:vAlign w:val="bottom"/>
          </w:tcPr>
          <w:p w14:paraId="455FA98A" w14:textId="77777777" w:rsidR="00A031A6" w:rsidRDefault="00916FD0">
            <w:pPr>
              <w:jc w:val="right"/>
              <w:rPr>
                <w:color w:val="000000"/>
                <w:sz w:val="14"/>
                <w:szCs w:val="14"/>
              </w:rPr>
            </w:pPr>
            <w:r>
              <w:rPr>
                <w:color w:val="000000"/>
                <w:sz w:val="14"/>
                <w:szCs w:val="14"/>
              </w:rPr>
              <w:t>92%</w:t>
            </w:r>
          </w:p>
        </w:tc>
        <w:tc>
          <w:tcPr>
            <w:tcW w:w="1355" w:type="dxa"/>
            <w:gridSpan w:val="2"/>
            <w:tcBorders>
              <w:top w:val="nil"/>
              <w:left w:val="nil"/>
              <w:bottom w:val="nil"/>
              <w:right w:val="nil"/>
            </w:tcBorders>
            <w:shd w:val="clear" w:color="auto" w:fill="FFFFFF"/>
            <w:vAlign w:val="bottom"/>
          </w:tcPr>
          <w:p w14:paraId="01F7F72B" w14:textId="77777777" w:rsidR="00A031A6" w:rsidRDefault="00916FD0">
            <w:pPr>
              <w:jc w:val="right"/>
              <w:rPr>
                <w:color w:val="000000"/>
                <w:sz w:val="14"/>
                <w:szCs w:val="14"/>
              </w:rPr>
            </w:pPr>
            <w:r>
              <w:rPr>
                <w:color w:val="000000"/>
                <w:sz w:val="14"/>
                <w:szCs w:val="14"/>
              </w:rPr>
              <w:t>145%</w:t>
            </w:r>
          </w:p>
        </w:tc>
      </w:tr>
      <w:tr w:rsidR="00A031A6" w14:paraId="164BFAB4" w14:textId="77777777">
        <w:trPr>
          <w:trHeight w:val="57"/>
        </w:trPr>
        <w:tc>
          <w:tcPr>
            <w:tcW w:w="1552" w:type="dxa"/>
            <w:tcBorders>
              <w:top w:val="nil"/>
              <w:left w:val="nil"/>
              <w:bottom w:val="nil"/>
              <w:right w:val="nil"/>
            </w:tcBorders>
            <w:shd w:val="clear" w:color="auto" w:fill="FFFFFF"/>
            <w:vAlign w:val="bottom"/>
          </w:tcPr>
          <w:p w14:paraId="2BA0B283" w14:textId="77777777" w:rsidR="00A031A6" w:rsidRDefault="00916FD0">
            <w:pPr>
              <w:ind w:left="321" w:right="-30"/>
              <w:jc w:val="right"/>
              <w:rPr>
                <w:color w:val="000000"/>
                <w:sz w:val="14"/>
                <w:szCs w:val="14"/>
              </w:rPr>
            </w:pPr>
            <w:r>
              <w:rPr>
                <w:color w:val="000000"/>
                <w:sz w:val="14"/>
                <w:szCs w:val="14"/>
              </w:rPr>
              <w:t>2028</w:t>
            </w:r>
          </w:p>
        </w:tc>
        <w:tc>
          <w:tcPr>
            <w:tcW w:w="1391" w:type="dxa"/>
            <w:gridSpan w:val="3"/>
            <w:tcBorders>
              <w:top w:val="nil"/>
              <w:left w:val="nil"/>
              <w:bottom w:val="nil"/>
              <w:right w:val="nil"/>
            </w:tcBorders>
            <w:shd w:val="clear" w:color="auto" w:fill="FFFFFF"/>
            <w:vAlign w:val="bottom"/>
          </w:tcPr>
          <w:p w14:paraId="4EED170B" w14:textId="77777777" w:rsidR="00A031A6" w:rsidRDefault="00916FD0">
            <w:pPr>
              <w:ind w:left="348" w:right="118"/>
              <w:jc w:val="right"/>
              <w:rPr>
                <w:color w:val="000000"/>
                <w:sz w:val="14"/>
                <w:szCs w:val="14"/>
              </w:rPr>
            </w:pPr>
            <w:r>
              <w:rPr>
                <w:color w:val="000000"/>
                <w:sz w:val="14"/>
                <w:szCs w:val="14"/>
              </w:rPr>
              <w:t>555,549,768</w:t>
            </w:r>
          </w:p>
        </w:tc>
        <w:tc>
          <w:tcPr>
            <w:tcW w:w="1368" w:type="dxa"/>
            <w:gridSpan w:val="2"/>
            <w:tcBorders>
              <w:top w:val="nil"/>
              <w:left w:val="nil"/>
              <w:bottom w:val="nil"/>
              <w:right w:val="nil"/>
            </w:tcBorders>
            <w:shd w:val="clear" w:color="auto" w:fill="FFFFFF"/>
            <w:vAlign w:val="bottom"/>
          </w:tcPr>
          <w:p w14:paraId="7899D776" w14:textId="77777777" w:rsidR="00A031A6" w:rsidRDefault="00916FD0">
            <w:pPr>
              <w:jc w:val="right"/>
              <w:rPr>
                <w:color w:val="000000"/>
                <w:sz w:val="14"/>
                <w:szCs w:val="14"/>
              </w:rPr>
            </w:pPr>
            <w:r>
              <w:rPr>
                <w:color w:val="000000"/>
                <w:sz w:val="14"/>
                <w:szCs w:val="14"/>
              </w:rPr>
              <w:t>536,664,006</w:t>
            </w:r>
          </w:p>
        </w:tc>
        <w:tc>
          <w:tcPr>
            <w:tcW w:w="1371" w:type="dxa"/>
            <w:gridSpan w:val="2"/>
            <w:tcBorders>
              <w:top w:val="nil"/>
              <w:left w:val="nil"/>
              <w:bottom w:val="nil"/>
              <w:right w:val="nil"/>
            </w:tcBorders>
            <w:shd w:val="clear" w:color="auto" w:fill="FFFFFF"/>
            <w:vAlign w:val="bottom"/>
          </w:tcPr>
          <w:p w14:paraId="40EBBB3C" w14:textId="77777777" w:rsidR="00A031A6" w:rsidRDefault="00916FD0">
            <w:pPr>
              <w:jc w:val="right"/>
              <w:rPr>
                <w:color w:val="000000"/>
                <w:sz w:val="14"/>
                <w:szCs w:val="14"/>
              </w:rPr>
            </w:pPr>
            <w:r>
              <w:rPr>
                <w:color w:val="000000"/>
                <w:sz w:val="14"/>
                <w:szCs w:val="14"/>
              </w:rPr>
              <w:t>190,618,244</w:t>
            </w:r>
          </w:p>
        </w:tc>
        <w:tc>
          <w:tcPr>
            <w:tcW w:w="1510" w:type="dxa"/>
            <w:gridSpan w:val="2"/>
            <w:tcBorders>
              <w:top w:val="nil"/>
              <w:left w:val="nil"/>
              <w:bottom w:val="nil"/>
              <w:right w:val="nil"/>
            </w:tcBorders>
            <w:shd w:val="clear" w:color="auto" w:fill="FFFFFF"/>
            <w:vAlign w:val="bottom"/>
          </w:tcPr>
          <w:p w14:paraId="2E7ABFE5" w14:textId="77777777" w:rsidR="00A031A6" w:rsidRDefault="00916FD0">
            <w:pPr>
              <w:jc w:val="right"/>
              <w:rPr>
                <w:color w:val="000000"/>
                <w:sz w:val="14"/>
                <w:szCs w:val="14"/>
              </w:rPr>
            </w:pPr>
            <w:r>
              <w:rPr>
                <w:color w:val="000000"/>
                <w:sz w:val="14"/>
                <w:szCs w:val="14"/>
              </w:rPr>
              <w:t>13,355,432</w:t>
            </w:r>
          </w:p>
        </w:tc>
        <w:tc>
          <w:tcPr>
            <w:tcW w:w="1362" w:type="dxa"/>
            <w:gridSpan w:val="3"/>
            <w:tcBorders>
              <w:top w:val="nil"/>
              <w:left w:val="nil"/>
              <w:bottom w:val="nil"/>
              <w:right w:val="nil"/>
            </w:tcBorders>
            <w:shd w:val="clear" w:color="auto" w:fill="FFFFFF"/>
            <w:vAlign w:val="bottom"/>
          </w:tcPr>
          <w:p w14:paraId="36207887" w14:textId="77777777" w:rsidR="00A031A6" w:rsidRDefault="00916FD0">
            <w:pPr>
              <w:jc w:val="right"/>
              <w:rPr>
                <w:color w:val="000000"/>
                <w:sz w:val="14"/>
                <w:szCs w:val="14"/>
              </w:rPr>
            </w:pPr>
            <w:r>
              <w:rPr>
                <w:color w:val="000000"/>
                <w:sz w:val="14"/>
                <w:szCs w:val="14"/>
              </w:rPr>
              <w:t>158,377,050</w:t>
            </w:r>
          </w:p>
        </w:tc>
        <w:tc>
          <w:tcPr>
            <w:tcW w:w="1371" w:type="dxa"/>
            <w:gridSpan w:val="2"/>
            <w:tcBorders>
              <w:top w:val="nil"/>
              <w:left w:val="nil"/>
              <w:bottom w:val="nil"/>
              <w:right w:val="nil"/>
            </w:tcBorders>
            <w:shd w:val="clear" w:color="auto" w:fill="FFFFFF"/>
            <w:vAlign w:val="bottom"/>
          </w:tcPr>
          <w:p w14:paraId="16BC9FB3" w14:textId="77777777" w:rsidR="00A031A6" w:rsidRDefault="00916FD0">
            <w:pPr>
              <w:jc w:val="right"/>
              <w:rPr>
                <w:color w:val="000000"/>
                <w:sz w:val="14"/>
                <w:szCs w:val="14"/>
              </w:rPr>
            </w:pPr>
            <w:r>
              <w:rPr>
                <w:color w:val="000000"/>
                <w:sz w:val="14"/>
                <w:szCs w:val="14"/>
              </w:rPr>
              <w:t>28,380,293</w:t>
            </w:r>
          </w:p>
        </w:tc>
        <w:tc>
          <w:tcPr>
            <w:tcW w:w="1372" w:type="dxa"/>
            <w:gridSpan w:val="2"/>
            <w:tcBorders>
              <w:top w:val="nil"/>
              <w:left w:val="nil"/>
              <w:bottom w:val="nil"/>
              <w:right w:val="nil"/>
            </w:tcBorders>
            <w:shd w:val="clear" w:color="auto" w:fill="FFFFFF"/>
            <w:vAlign w:val="bottom"/>
          </w:tcPr>
          <w:p w14:paraId="5D474289" w14:textId="77777777" w:rsidR="00A031A6" w:rsidRDefault="00916FD0">
            <w:pPr>
              <w:jc w:val="right"/>
              <w:rPr>
                <w:color w:val="000000"/>
                <w:sz w:val="14"/>
                <w:szCs w:val="14"/>
              </w:rPr>
            </w:pPr>
            <w:r>
              <w:rPr>
                <w:color w:val="000000"/>
                <w:sz w:val="14"/>
                <w:szCs w:val="14"/>
              </w:rPr>
              <w:t>5%</w:t>
            </w:r>
          </w:p>
        </w:tc>
        <w:tc>
          <w:tcPr>
            <w:tcW w:w="1373" w:type="dxa"/>
            <w:gridSpan w:val="2"/>
            <w:tcBorders>
              <w:top w:val="nil"/>
              <w:left w:val="nil"/>
              <w:bottom w:val="nil"/>
              <w:right w:val="nil"/>
            </w:tcBorders>
            <w:shd w:val="clear" w:color="auto" w:fill="FFFFFF"/>
            <w:vAlign w:val="bottom"/>
          </w:tcPr>
          <w:p w14:paraId="11D05791" w14:textId="77777777" w:rsidR="00A031A6" w:rsidRDefault="00916FD0">
            <w:pPr>
              <w:jc w:val="right"/>
              <w:rPr>
                <w:color w:val="000000"/>
                <w:sz w:val="14"/>
                <w:szCs w:val="14"/>
              </w:rPr>
            </w:pPr>
            <w:r>
              <w:rPr>
                <w:color w:val="000000"/>
                <w:sz w:val="14"/>
                <w:szCs w:val="14"/>
              </w:rPr>
              <w:t>527,169,475</w:t>
            </w:r>
          </w:p>
        </w:tc>
        <w:tc>
          <w:tcPr>
            <w:tcW w:w="1373" w:type="dxa"/>
            <w:gridSpan w:val="2"/>
            <w:tcBorders>
              <w:top w:val="nil"/>
              <w:left w:val="nil"/>
              <w:bottom w:val="nil"/>
              <w:right w:val="nil"/>
            </w:tcBorders>
            <w:shd w:val="clear" w:color="auto" w:fill="FFFFFF"/>
            <w:vAlign w:val="bottom"/>
          </w:tcPr>
          <w:p w14:paraId="00BC0855" w14:textId="77777777" w:rsidR="00A031A6" w:rsidRDefault="00916FD0">
            <w:pPr>
              <w:jc w:val="right"/>
              <w:rPr>
                <w:color w:val="000000"/>
                <w:sz w:val="14"/>
                <w:szCs w:val="14"/>
              </w:rPr>
            </w:pPr>
            <w:r>
              <w:rPr>
                <w:color w:val="000000"/>
                <w:sz w:val="14"/>
                <w:szCs w:val="14"/>
              </w:rPr>
              <w:t>95%</w:t>
            </w:r>
          </w:p>
        </w:tc>
        <w:tc>
          <w:tcPr>
            <w:tcW w:w="1355" w:type="dxa"/>
            <w:gridSpan w:val="2"/>
            <w:tcBorders>
              <w:top w:val="nil"/>
              <w:left w:val="nil"/>
              <w:bottom w:val="nil"/>
              <w:right w:val="nil"/>
            </w:tcBorders>
            <w:shd w:val="clear" w:color="auto" w:fill="FFFFFF"/>
            <w:vAlign w:val="bottom"/>
          </w:tcPr>
          <w:p w14:paraId="48985043" w14:textId="77777777" w:rsidR="00A031A6" w:rsidRDefault="00916FD0">
            <w:pPr>
              <w:jc w:val="right"/>
              <w:rPr>
                <w:color w:val="000000"/>
                <w:sz w:val="14"/>
                <w:szCs w:val="14"/>
              </w:rPr>
            </w:pPr>
            <w:r>
              <w:rPr>
                <w:color w:val="000000"/>
                <w:sz w:val="14"/>
                <w:szCs w:val="14"/>
              </w:rPr>
              <w:t>149%</w:t>
            </w:r>
          </w:p>
        </w:tc>
      </w:tr>
      <w:tr w:rsidR="00A031A6" w14:paraId="6EE9A74B" w14:textId="77777777">
        <w:trPr>
          <w:trHeight w:val="57"/>
        </w:trPr>
        <w:tc>
          <w:tcPr>
            <w:tcW w:w="1552" w:type="dxa"/>
            <w:tcBorders>
              <w:top w:val="nil"/>
              <w:left w:val="nil"/>
              <w:bottom w:val="nil"/>
              <w:right w:val="nil"/>
            </w:tcBorders>
            <w:shd w:val="clear" w:color="auto" w:fill="FFFFFF"/>
            <w:vAlign w:val="bottom"/>
          </w:tcPr>
          <w:p w14:paraId="7BDD7A98" w14:textId="77777777" w:rsidR="00A031A6" w:rsidRDefault="00916FD0">
            <w:pPr>
              <w:ind w:left="321" w:right="-30"/>
              <w:jc w:val="right"/>
              <w:rPr>
                <w:color w:val="000000"/>
                <w:sz w:val="14"/>
                <w:szCs w:val="14"/>
              </w:rPr>
            </w:pPr>
            <w:r>
              <w:rPr>
                <w:color w:val="000000"/>
                <w:sz w:val="14"/>
                <w:szCs w:val="14"/>
              </w:rPr>
              <w:t>2029</w:t>
            </w:r>
          </w:p>
        </w:tc>
        <w:tc>
          <w:tcPr>
            <w:tcW w:w="1391" w:type="dxa"/>
            <w:gridSpan w:val="3"/>
            <w:tcBorders>
              <w:top w:val="nil"/>
              <w:left w:val="nil"/>
              <w:bottom w:val="nil"/>
              <w:right w:val="nil"/>
            </w:tcBorders>
            <w:shd w:val="clear" w:color="auto" w:fill="FFFFFF"/>
            <w:vAlign w:val="bottom"/>
          </w:tcPr>
          <w:p w14:paraId="7AB503B0" w14:textId="77777777" w:rsidR="00A031A6" w:rsidRDefault="00916FD0">
            <w:pPr>
              <w:ind w:left="348" w:right="118"/>
              <w:jc w:val="right"/>
              <w:rPr>
                <w:color w:val="000000"/>
                <w:sz w:val="14"/>
                <w:szCs w:val="14"/>
              </w:rPr>
            </w:pPr>
            <w:r>
              <w:rPr>
                <w:color w:val="000000"/>
                <w:sz w:val="14"/>
                <w:szCs w:val="14"/>
              </w:rPr>
              <w:t>574,869,941</w:t>
            </w:r>
          </w:p>
        </w:tc>
        <w:tc>
          <w:tcPr>
            <w:tcW w:w="1368" w:type="dxa"/>
            <w:gridSpan w:val="2"/>
            <w:tcBorders>
              <w:top w:val="nil"/>
              <w:left w:val="nil"/>
              <w:bottom w:val="nil"/>
              <w:right w:val="nil"/>
            </w:tcBorders>
            <w:shd w:val="clear" w:color="auto" w:fill="FFFFFF"/>
            <w:vAlign w:val="bottom"/>
          </w:tcPr>
          <w:p w14:paraId="0D5B7B7D" w14:textId="77777777" w:rsidR="00A031A6" w:rsidRDefault="00916FD0">
            <w:pPr>
              <w:jc w:val="right"/>
              <w:rPr>
                <w:color w:val="000000"/>
                <w:sz w:val="14"/>
                <w:szCs w:val="14"/>
              </w:rPr>
            </w:pPr>
            <w:r>
              <w:rPr>
                <w:color w:val="000000"/>
                <w:sz w:val="14"/>
                <w:szCs w:val="14"/>
              </w:rPr>
              <w:t>555,549,768</w:t>
            </w:r>
          </w:p>
        </w:tc>
        <w:tc>
          <w:tcPr>
            <w:tcW w:w="1371" w:type="dxa"/>
            <w:gridSpan w:val="2"/>
            <w:tcBorders>
              <w:top w:val="nil"/>
              <w:left w:val="nil"/>
              <w:bottom w:val="nil"/>
              <w:right w:val="nil"/>
            </w:tcBorders>
            <w:shd w:val="clear" w:color="auto" w:fill="FFFFFF"/>
            <w:vAlign w:val="bottom"/>
          </w:tcPr>
          <w:p w14:paraId="099D2A54" w14:textId="77777777" w:rsidR="00A031A6" w:rsidRDefault="00916FD0">
            <w:pPr>
              <w:jc w:val="right"/>
              <w:rPr>
                <w:color w:val="000000"/>
                <w:sz w:val="14"/>
                <w:szCs w:val="14"/>
              </w:rPr>
            </w:pPr>
            <w:r>
              <w:rPr>
                <w:color w:val="000000"/>
                <w:sz w:val="14"/>
                <w:szCs w:val="14"/>
              </w:rPr>
              <w:t>197,096,098</w:t>
            </w:r>
          </w:p>
        </w:tc>
        <w:tc>
          <w:tcPr>
            <w:tcW w:w="1510" w:type="dxa"/>
            <w:gridSpan w:val="2"/>
            <w:tcBorders>
              <w:top w:val="nil"/>
              <w:left w:val="nil"/>
              <w:bottom w:val="nil"/>
              <w:right w:val="nil"/>
            </w:tcBorders>
            <w:shd w:val="clear" w:color="auto" w:fill="FFFFFF"/>
            <w:vAlign w:val="bottom"/>
          </w:tcPr>
          <w:p w14:paraId="6D6D89AB" w14:textId="77777777" w:rsidR="00A031A6" w:rsidRDefault="00916FD0">
            <w:pPr>
              <w:jc w:val="right"/>
              <w:rPr>
                <w:color w:val="000000"/>
                <w:sz w:val="14"/>
                <w:szCs w:val="14"/>
              </w:rPr>
            </w:pPr>
            <w:r>
              <w:rPr>
                <w:color w:val="000000"/>
                <w:sz w:val="14"/>
                <w:szCs w:val="14"/>
              </w:rPr>
              <w:t>9,081,694</w:t>
            </w:r>
          </w:p>
        </w:tc>
        <w:tc>
          <w:tcPr>
            <w:tcW w:w="1362" w:type="dxa"/>
            <w:gridSpan w:val="3"/>
            <w:tcBorders>
              <w:top w:val="nil"/>
              <w:left w:val="nil"/>
              <w:bottom w:val="nil"/>
              <w:right w:val="nil"/>
            </w:tcBorders>
            <w:shd w:val="clear" w:color="auto" w:fill="FFFFFF"/>
            <w:vAlign w:val="bottom"/>
          </w:tcPr>
          <w:p w14:paraId="1E4744F5" w14:textId="77777777" w:rsidR="00A031A6" w:rsidRDefault="00916FD0">
            <w:pPr>
              <w:jc w:val="right"/>
              <w:rPr>
                <w:color w:val="000000"/>
                <w:sz w:val="14"/>
                <w:szCs w:val="14"/>
              </w:rPr>
            </w:pPr>
            <w:r>
              <w:rPr>
                <w:color w:val="000000"/>
                <w:sz w:val="14"/>
                <w:szCs w:val="14"/>
              </w:rPr>
              <w:t>168,694,232</w:t>
            </w:r>
          </w:p>
        </w:tc>
        <w:tc>
          <w:tcPr>
            <w:tcW w:w="1371" w:type="dxa"/>
            <w:gridSpan w:val="2"/>
            <w:tcBorders>
              <w:top w:val="nil"/>
              <w:left w:val="nil"/>
              <w:bottom w:val="nil"/>
              <w:right w:val="nil"/>
            </w:tcBorders>
            <w:shd w:val="clear" w:color="auto" w:fill="FFFFFF"/>
            <w:vAlign w:val="bottom"/>
          </w:tcPr>
          <w:p w14:paraId="2F2D2AC5" w14:textId="77777777" w:rsidR="00A031A6" w:rsidRDefault="00916FD0">
            <w:pPr>
              <w:jc w:val="right"/>
              <w:rPr>
                <w:color w:val="000000"/>
                <w:sz w:val="14"/>
                <w:szCs w:val="14"/>
              </w:rPr>
            </w:pPr>
            <w:r>
              <w:rPr>
                <w:color w:val="000000"/>
                <w:sz w:val="14"/>
                <w:szCs w:val="14"/>
              </w:rPr>
              <w:t>19,298,600</w:t>
            </w:r>
          </w:p>
        </w:tc>
        <w:tc>
          <w:tcPr>
            <w:tcW w:w="1372" w:type="dxa"/>
            <w:gridSpan w:val="2"/>
            <w:tcBorders>
              <w:top w:val="nil"/>
              <w:left w:val="nil"/>
              <w:bottom w:val="nil"/>
              <w:right w:val="nil"/>
            </w:tcBorders>
            <w:shd w:val="clear" w:color="auto" w:fill="FFFFFF"/>
            <w:vAlign w:val="bottom"/>
          </w:tcPr>
          <w:p w14:paraId="72CE9125" w14:textId="77777777" w:rsidR="00A031A6" w:rsidRDefault="00916FD0">
            <w:pPr>
              <w:jc w:val="right"/>
              <w:rPr>
                <w:color w:val="000000"/>
                <w:sz w:val="14"/>
                <w:szCs w:val="14"/>
              </w:rPr>
            </w:pPr>
            <w:r>
              <w:rPr>
                <w:color w:val="000000"/>
                <w:sz w:val="14"/>
                <w:szCs w:val="14"/>
              </w:rPr>
              <w:t>3%</w:t>
            </w:r>
          </w:p>
        </w:tc>
        <w:tc>
          <w:tcPr>
            <w:tcW w:w="1373" w:type="dxa"/>
            <w:gridSpan w:val="2"/>
            <w:tcBorders>
              <w:top w:val="nil"/>
              <w:left w:val="nil"/>
              <w:bottom w:val="nil"/>
              <w:right w:val="nil"/>
            </w:tcBorders>
            <w:shd w:val="clear" w:color="auto" w:fill="FFFFFF"/>
            <w:vAlign w:val="bottom"/>
          </w:tcPr>
          <w:p w14:paraId="79A32083" w14:textId="77777777" w:rsidR="00A031A6" w:rsidRDefault="00916FD0">
            <w:pPr>
              <w:jc w:val="right"/>
              <w:rPr>
                <w:color w:val="000000"/>
                <w:sz w:val="14"/>
                <w:szCs w:val="14"/>
              </w:rPr>
            </w:pPr>
            <w:r>
              <w:rPr>
                <w:color w:val="000000"/>
                <w:sz w:val="14"/>
                <w:szCs w:val="14"/>
              </w:rPr>
              <w:t>555,571,341</w:t>
            </w:r>
          </w:p>
        </w:tc>
        <w:tc>
          <w:tcPr>
            <w:tcW w:w="1373" w:type="dxa"/>
            <w:gridSpan w:val="2"/>
            <w:tcBorders>
              <w:top w:val="nil"/>
              <w:left w:val="nil"/>
              <w:bottom w:val="nil"/>
              <w:right w:val="nil"/>
            </w:tcBorders>
            <w:shd w:val="clear" w:color="auto" w:fill="FFFFFF"/>
            <w:vAlign w:val="bottom"/>
          </w:tcPr>
          <w:p w14:paraId="02234D56" w14:textId="77777777" w:rsidR="00A031A6" w:rsidRDefault="00916FD0">
            <w:pPr>
              <w:jc w:val="right"/>
              <w:rPr>
                <w:color w:val="000000"/>
                <w:sz w:val="14"/>
                <w:szCs w:val="14"/>
              </w:rPr>
            </w:pPr>
            <w:r>
              <w:rPr>
                <w:color w:val="000000"/>
                <w:sz w:val="14"/>
                <w:szCs w:val="14"/>
              </w:rPr>
              <w:t>97%</w:t>
            </w:r>
          </w:p>
        </w:tc>
        <w:tc>
          <w:tcPr>
            <w:tcW w:w="1355" w:type="dxa"/>
            <w:gridSpan w:val="2"/>
            <w:tcBorders>
              <w:top w:val="nil"/>
              <w:left w:val="nil"/>
              <w:bottom w:val="nil"/>
              <w:right w:val="nil"/>
            </w:tcBorders>
            <w:shd w:val="clear" w:color="auto" w:fill="FFFFFF"/>
            <w:vAlign w:val="bottom"/>
          </w:tcPr>
          <w:p w14:paraId="1F5A8694" w14:textId="77777777" w:rsidR="00A031A6" w:rsidRDefault="00916FD0">
            <w:pPr>
              <w:jc w:val="right"/>
              <w:rPr>
                <w:color w:val="000000"/>
                <w:sz w:val="14"/>
                <w:szCs w:val="14"/>
              </w:rPr>
            </w:pPr>
            <w:r>
              <w:rPr>
                <w:color w:val="000000"/>
                <w:sz w:val="14"/>
                <w:szCs w:val="14"/>
              </w:rPr>
              <w:t>153%</w:t>
            </w:r>
          </w:p>
        </w:tc>
      </w:tr>
      <w:tr w:rsidR="00A031A6" w14:paraId="60659B14" w14:textId="77777777">
        <w:trPr>
          <w:trHeight w:val="57"/>
        </w:trPr>
        <w:tc>
          <w:tcPr>
            <w:tcW w:w="1552" w:type="dxa"/>
            <w:tcBorders>
              <w:top w:val="nil"/>
              <w:left w:val="nil"/>
              <w:bottom w:val="nil"/>
              <w:right w:val="nil"/>
            </w:tcBorders>
            <w:shd w:val="clear" w:color="auto" w:fill="FFFFFF"/>
            <w:vAlign w:val="bottom"/>
          </w:tcPr>
          <w:p w14:paraId="14C3DCB0" w14:textId="77777777" w:rsidR="00A031A6" w:rsidRDefault="00916FD0">
            <w:pPr>
              <w:ind w:left="321" w:right="-30"/>
              <w:jc w:val="right"/>
              <w:rPr>
                <w:color w:val="000000"/>
                <w:sz w:val="14"/>
                <w:szCs w:val="14"/>
              </w:rPr>
            </w:pPr>
            <w:r>
              <w:rPr>
                <w:color w:val="000000"/>
                <w:sz w:val="14"/>
                <w:szCs w:val="14"/>
              </w:rPr>
              <w:t>2030</w:t>
            </w:r>
          </w:p>
        </w:tc>
        <w:tc>
          <w:tcPr>
            <w:tcW w:w="1391" w:type="dxa"/>
            <w:gridSpan w:val="3"/>
            <w:tcBorders>
              <w:top w:val="nil"/>
              <w:left w:val="nil"/>
              <w:bottom w:val="nil"/>
              <w:right w:val="nil"/>
            </w:tcBorders>
            <w:shd w:val="clear" w:color="auto" w:fill="FFFFFF"/>
            <w:vAlign w:val="bottom"/>
          </w:tcPr>
          <w:p w14:paraId="38F609E7" w14:textId="77777777" w:rsidR="00A031A6" w:rsidRDefault="00916FD0">
            <w:pPr>
              <w:ind w:left="348" w:right="118"/>
              <w:jc w:val="right"/>
              <w:rPr>
                <w:color w:val="000000"/>
                <w:sz w:val="14"/>
                <w:szCs w:val="14"/>
              </w:rPr>
            </w:pPr>
            <w:r>
              <w:rPr>
                <w:color w:val="000000"/>
                <w:sz w:val="14"/>
                <w:szCs w:val="14"/>
              </w:rPr>
              <w:t>594,705,651</w:t>
            </w:r>
          </w:p>
        </w:tc>
        <w:tc>
          <w:tcPr>
            <w:tcW w:w="1368" w:type="dxa"/>
            <w:gridSpan w:val="2"/>
            <w:tcBorders>
              <w:top w:val="nil"/>
              <w:left w:val="nil"/>
              <w:bottom w:val="nil"/>
              <w:right w:val="nil"/>
            </w:tcBorders>
            <w:shd w:val="clear" w:color="auto" w:fill="FFFFFF"/>
            <w:vAlign w:val="bottom"/>
          </w:tcPr>
          <w:p w14:paraId="51E6C513" w14:textId="77777777" w:rsidR="00A031A6" w:rsidRDefault="00916FD0">
            <w:pPr>
              <w:jc w:val="right"/>
              <w:rPr>
                <w:color w:val="000000"/>
                <w:sz w:val="14"/>
                <w:szCs w:val="14"/>
              </w:rPr>
            </w:pPr>
            <w:r>
              <w:rPr>
                <w:color w:val="000000"/>
                <w:sz w:val="14"/>
                <w:szCs w:val="14"/>
              </w:rPr>
              <w:t>574,869,941</w:t>
            </w:r>
          </w:p>
        </w:tc>
        <w:tc>
          <w:tcPr>
            <w:tcW w:w="1371" w:type="dxa"/>
            <w:gridSpan w:val="2"/>
            <w:tcBorders>
              <w:top w:val="nil"/>
              <w:left w:val="nil"/>
              <w:bottom w:val="nil"/>
              <w:right w:val="nil"/>
            </w:tcBorders>
            <w:shd w:val="clear" w:color="auto" w:fill="FFFFFF"/>
            <w:vAlign w:val="bottom"/>
          </w:tcPr>
          <w:p w14:paraId="1D2341CC" w14:textId="77777777" w:rsidR="00A031A6" w:rsidRDefault="00916FD0">
            <w:pPr>
              <w:jc w:val="right"/>
              <w:rPr>
                <w:color w:val="000000"/>
                <w:sz w:val="14"/>
                <w:szCs w:val="14"/>
              </w:rPr>
            </w:pPr>
            <w:r>
              <w:rPr>
                <w:color w:val="000000"/>
                <w:sz w:val="14"/>
                <w:szCs w:val="14"/>
              </w:rPr>
              <w:t>203,794,092</w:t>
            </w:r>
          </w:p>
        </w:tc>
        <w:tc>
          <w:tcPr>
            <w:tcW w:w="1510" w:type="dxa"/>
            <w:gridSpan w:val="2"/>
            <w:tcBorders>
              <w:top w:val="nil"/>
              <w:left w:val="nil"/>
              <w:bottom w:val="nil"/>
              <w:right w:val="nil"/>
            </w:tcBorders>
            <w:shd w:val="clear" w:color="auto" w:fill="FFFFFF"/>
            <w:vAlign w:val="bottom"/>
          </w:tcPr>
          <w:p w14:paraId="6C9FE50E" w14:textId="77777777" w:rsidR="00A031A6" w:rsidRDefault="00916FD0">
            <w:pPr>
              <w:jc w:val="right"/>
              <w:rPr>
                <w:color w:val="000000"/>
                <w:sz w:val="14"/>
                <w:szCs w:val="14"/>
              </w:rPr>
            </w:pPr>
            <w:r>
              <w:rPr>
                <w:color w:val="000000"/>
                <w:sz w:val="14"/>
                <w:szCs w:val="14"/>
              </w:rPr>
              <w:t>6,175,552</w:t>
            </w:r>
          </w:p>
        </w:tc>
        <w:tc>
          <w:tcPr>
            <w:tcW w:w="1362" w:type="dxa"/>
            <w:gridSpan w:val="3"/>
            <w:tcBorders>
              <w:top w:val="nil"/>
              <w:left w:val="nil"/>
              <w:bottom w:val="nil"/>
              <w:right w:val="nil"/>
            </w:tcBorders>
            <w:shd w:val="clear" w:color="auto" w:fill="FFFFFF"/>
            <w:vAlign w:val="bottom"/>
          </w:tcPr>
          <w:p w14:paraId="4D2341E5" w14:textId="77777777" w:rsidR="00A031A6" w:rsidRDefault="00916FD0">
            <w:pPr>
              <w:jc w:val="right"/>
              <w:rPr>
                <w:color w:val="000000"/>
                <w:sz w:val="14"/>
                <w:szCs w:val="14"/>
              </w:rPr>
            </w:pPr>
            <w:r>
              <w:rPr>
                <w:color w:val="000000"/>
                <w:sz w:val="14"/>
                <w:szCs w:val="14"/>
              </w:rPr>
              <w:t>177,782,829</w:t>
            </w:r>
          </w:p>
        </w:tc>
        <w:tc>
          <w:tcPr>
            <w:tcW w:w="1371" w:type="dxa"/>
            <w:gridSpan w:val="2"/>
            <w:tcBorders>
              <w:top w:val="nil"/>
              <w:left w:val="nil"/>
              <w:bottom w:val="nil"/>
              <w:right w:val="nil"/>
            </w:tcBorders>
            <w:shd w:val="clear" w:color="auto" w:fill="FFFFFF"/>
            <w:vAlign w:val="bottom"/>
          </w:tcPr>
          <w:p w14:paraId="5CA3D91D" w14:textId="77777777" w:rsidR="00A031A6" w:rsidRDefault="00916FD0">
            <w:pPr>
              <w:jc w:val="right"/>
              <w:rPr>
                <w:color w:val="000000"/>
                <w:sz w:val="14"/>
                <w:szCs w:val="14"/>
              </w:rPr>
            </w:pPr>
            <w:r>
              <w:rPr>
                <w:color w:val="000000"/>
                <w:sz w:val="14"/>
                <w:szCs w:val="14"/>
              </w:rPr>
              <w:t>13,123,048</w:t>
            </w:r>
          </w:p>
        </w:tc>
        <w:tc>
          <w:tcPr>
            <w:tcW w:w="1372" w:type="dxa"/>
            <w:gridSpan w:val="2"/>
            <w:tcBorders>
              <w:top w:val="nil"/>
              <w:left w:val="nil"/>
              <w:bottom w:val="nil"/>
              <w:right w:val="nil"/>
            </w:tcBorders>
            <w:shd w:val="clear" w:color="auto" w:fill="FFFFFF"/>
            <w:vAlign w:val="bottom"/>
          </w:tcPr>
          <w:p w14:paraId="14CD0F18" w14:textId="77777777" w:rsidR="00A031A6" w:rsidRDefault="00916FD0">
            <w:pPr>
              <w:jc w:val="right"/>
              <w:rPr>
                <w:color w:val="000000"/>
                <w:sz w:val="14"/>
                <w:szCs w:val="14"/>
              </w:rPr>
            </w:pPr>
            <w:r>
              <w:rPr>
                <w:color w:val="000000"/>
                <w:sz w:val="14"/>
                <w:szCs w:val="14"/>
              </w:rPr>
              <w:t>2%</w:t>
            </w:r>
          </w:p>
        </w:tc>
        <w:tc>
          <w:tcPr>
            <w:tcW w:w="1373" w:type="dxa"/>
            <w:gridSpan w:val="2"/>
            <w:tcBorders>
              <w:top w:val="nil"/>
              <w:left w:val="nil"/>
              <w:bottom w:val="nil"/>
              <w:right w:val="nil"/>
            </w:tcBorders>
            <w:shd w:val="clear" w:color="auto" w:fill="FFFFFF"/>
            <w:vAlign w:val="bottom"/>
          </w:tcPr>
          <w:p w14:paraId="19C8D23B" w14:textId="77777777" w:rsidR="00A031A6" w:rsidRDefault="00916FD0">
            <w:pPr>
              <w:jc w:val="right"/>
              <w:rPr>
                <w:color w:val="000000"/>
                <w:sz w:val="14"/>
                <w:szCs w:val="14"/>
              </w:rPr>
            </w:pPr>
            <w:r>
              <w:rPr>
                <w:color w:val="000000"/>
                <w:sz w:val="14"/>
                <w:szCs w:val="14"/>
              </w:rPr>
              <w:t>581,582,604</w:t>
            </w:r>
          </w:p>
        </w:tc>
        <w:tc>
          <w:tcPr>
            <w:tcW w:w="1373" w:type="dxa"/>
            <w:gridSpan w:val="2"/>
            <w:tcBorders>
              <w:top w:val="nil"/>
              <w:left w:val="nil"/>
              <w:bottom w:val="nil"/>
              <w:right w:val="nil"/>
            </w:tcBorders>
            <w:shd w:val="clear" w:color="auto" w:fill="FFFFFF"/>
            <w:vAlign w:val="bottom"/>
          </w:tcPr>
          <w:p w14:paraId="4835D1FD" w14:textId="77777777" w:rsidR="00A031A6" w:rsidRDefault="00916FD0">
            <w:pPr>
              <w:jc w:val="right"/>
              <w:rPr>
                <w:color w:val="000000"/>
                <w:sz w:val="14"/>
                <w:szCs w:val="14"/>
              </w:rPr>
            </w:pPr>
            <w:r>
              <w:rPr>
                <w:color w:val="000000"/>
                <w:sz w:val="14"/>
                <w:szCs w:val="14"/>
              </w:rPr>
              <w:t>98%</w:t>
            </w:r>
          </w:p>
        </w:tc>
        <w:tc>
          <w:tcPr>
            <w:tcW w:w="1355" w:type="dxa"/>
            <w:gridSpan w:val="2"/>
            <w:tcBorders>
              <w:top w:val="nil"/>
              <w:left w:val="nil"/>
              <w:bottom w:val="nil"/>
              <w:right w:val="nil"/>
            </w:tcBorders>
            <w:shd w:val="clear" w:color="auto" w:fill="FFFFFF"/>
            <w:vAlign w:val="bottom"/>
          </w:tcPr>
          <w:p w14:paraId="53C5A55C" w14:textId="77777777" w:rsidR="00A031A6" w:rsidRDefault="00916FD0">
            <w:pPr>
              <w:jc w:val="right"/>
              <w:rPr>
                <w:color w:val="000000"/>
                <w:sz w:val="14"/>
                <w:szCs w:val="14"/>
              </w:rPr>
            </w:pPr>
            <w:r>
              <w:rPr>
                <w:color w:val="000000"/>
                <w:sz w:val="14"/>
                <w:szCs w:val="14"/>
              </w:rPr>
              <w:t>157%</w:t>
            </w:r>
          </w:p>
        </w:tc>
      </w:tr>
    </w:tbl>
    <w:p w14:paraId="34FB343E" w14:textId="77777777" w:rsidR="00A031A6" w:rsidRDefault="00A031A6">
      <w:pPr>
        <w:sectPr w:rsidR="00A031A6">
          <w:pgSz w:w="11906" w:h="16838"/>
          <w:pgMar w:top="720" w:right="720" w:bottom="720" w:left="720" w:header="709" w:footer="709" w:gutter="0"/>
          <w:cols w:space="720"/>
        </w:sectPr>
      </w:pPr>
    </w:p>
    <w:p w14:paraId="24101088" w14:textId="77777777" w:rsidR="00A031A6" w:rsidRDefault="00916FD0">
      <w:pPr>
        <w:pStyle w:val="Heading2"/>
        <w:numPr>
          <w:ilvl w:val="0"/>
          <w:numId w:val="13"/>
        </w:numPr>
      </w:pPr>
      <w:bookmarkStart w:id="301" w:name="_Toc62221595"/>
      <w:r>
        <w:lastRenderedPageBreak/>
        <w:t>Indonesia energy balance 2018</w:t>
      </w:r>
      <w:bookmarkEnd w:id="301"/>
    </w:p>
    <w:tbl>
      <w:tblPr>
        <w:tblStyle w:val="afc"/>
        <w:tblW w:w="1542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620" w:firstRow="1" w:lastRow="0" w:firstColumn="0" w:lastColumn="0" w:noHBand="1" w:noVBand="1"/>
      </w:tblPr>
      <w:tblGrid>
        <w:gridCol w:w="1136"/>
        <w:gridCol w:w="782"/>
        <w:gridCol w:w="883"/>
        <w:gridCol w:w="782"/>
        <w:gridCol w:w="782"/>
        <w:gridCol w:w="871"/>
        <w:gridCol w:w="782"/>
        <w:gridCol w:w="782"/>
        <w:gridCol w:w="782"/>
        <w:gridCol w:w="782"/>
        <w:gridCol w:w="782"/>
        <w:gridCol w:w="782"/>
        <w:gridCol w:w="803"/>
        <w:gridCol w:w="781"/>
        <w:gridCol w:w="781"/>
        <w:gridCol w:w="781"/>
        <w:gridCol w:w="790"/>
        <w:gridCol w:w="771"/>
        <w:gridCol w:w="790"/>
      </w:tblGrid>
      <w:tr w:rsidR="00500FE4" w14:paraId="4CEB1090" w14:textId="77777777" w:rsidTr="00A031A6">
        <w:trPr>
          <w:cnfStyle w:val="100000000000" w:firstRow="1" w:lastRow="0" w:firstColumn="0" w:lastColumn="0" w:oddVBand="0" w:evenVBand="0" w:oddHBand="0" w:evenHBand="0" w:firstRowFirstColumn="0" w:firstRowLastColumn="0" w:lastRowFirstColumn="0" w:lastRowLastColumn="0"/>
          <w:trHeight w:val="283"/>
        </w:trPr>
        <w:tc>
          <w:tcPr>
            <w:tcW w:w="1136" w:type="dxa"/>
            <w:shd w:val="clear" w:color="auto" w:fill="808080"/>
            <w:vAlign w:val="center"/>
          </w:tcPr>
          <w:p w14:paraId="1756FB5D" w14:textId="77777777" w:rsidR="00A031A6" w:rsidRDefault="00916FD0">
            <w:pPr>
              <w:spacing w:line="360" w:lineRule="auto"/>
              <w:jc w:val="left"/>
              <w:rPr>
                <w:rFonts w:ascii="Arial" w:eastAsia="Arial" w:hAnsi="Arial" w:cs="Arial"/>
                <w:sz w:val="8"/>
                <w:szCs w:val="8"/>
              </w:rPr>
            </w:pPr>
            <w:r>
              <w:rPr>
                <w:rFonts w:ascii="Arial" w:eastAsia="Arial" w:hAnsi="Arial" w:cs="Arial"/>
                <w:sz w:val="8"/>
                <w:szCs w:val="8"/>
              </w:rPr>
              <w:t>ENERGY BALANCE (Thousand BOE)</w:t>
            </w:r>
          </w:p>
        </w:tc>
        <w:tc>
          <w:tcPr>
            <w:tcW w:w="782" w:type="dxa"/>
            <w:shd w:val="clear" w:color="auto" w:fill="808080"/>
            <w:vAlign w:val="center"/>
          </w:tcPr>
          <w:p w14:paraId="7EF5DCF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Hydro- power</w:t>
            </w:r>
          </w:p>
        </w:tc>
        <w:tc>
          <w:tcPr>
            <w:tcW w:w="883" w:type="dxa"/>
            <w:shd w:val="clear" w:color="auto" w:fill="808080"/>
            <w:vAlign w:val="center"/>
          </w:tcPr>
          <w:p w14:paraId="392B338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Geothermal</w:t>
            </w:r>
          </w:p>
        </w:tc>
        <w:tc>
          <w:tcPr>
            <w:tcW w:w="782" w:type="dxa"/>
            <w:shd w:val="clear" w:color="auto" w:fill="808080"/>
            <w:vAlign w:val="center"/>
          </w:tcPr>
          <w:p w14:paraId="496440E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Solar PV</w:t>
            </w:r>
          </w:p>
        </w:tc>
        <w:tc>
          <w:tcPr>
            <w:tcW w:w="782" w:type="dxa"/>
            <w:shd w:val="clear" w:color="auto" w:fill="808080"/>
            <w:vAlign w:val="center"/>
          </w:tcPr>
          <w:p w14:paraId="261B5BC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Wind</w:t>
            </w:r>
          </w:p>
        </w:tc>
        <w:tc>
          <w:tcPr>
            <w:tcW w:w="871" w:type="dxa"/>
            <w:shd w:val="clear" w:color="auto" w:fill="808080"/>
            <w:vAlign w:val="center"/>
          </w:tcPr>
          <w:p w14:paraId="029CA40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Other renewables</w:t>
            </w:r>
          </w:p>
        </w:tc>
        <w:tc>
          <w:tcPr>
            <w:tcW w:w="782" w:type="dxa"/>
            <w:shd w:val="clear" w:color="auto" w:fill="808080"/>
            <w:vAlign w:val="center"/>
          </w:tcPr>
          <w:p w14:paraId="4E4E80D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Solar power</w:t>
            </w:r>
          </w:p>
        </w:tc>
        <w:tc>
          <w:tcPr>
            <w:tcW w:w="782" w:type="dxa"/>
            <w:shd w:val="clear" w:color="auto" w:fill="808080"/>
            <w:vAlign w:val="center"/>
          </w:tcPr>
          <w:p w14:paraId="34B22E4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Biomass</w:t>
            </w:r>
          </w:p>
        </w:tc>
        <w:tc>
          <w:tcPr>
            <w:tcW w:w="782" w:type="dxa"/>
            <w:shd w:val="clear" w:color="auto" w:fill="808080"/>
            <w:vAlign w:val="center"/>
          </w:tcPr>
          <w:p w14:paraId="32A50BD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Coal</w:t>
            </w:r>
          </w:p>
        </w:tc>
        <w:tc>
          <w:tcPr>
            <w:tcW w:w="782" w:type="dxa"/>
            <w:shd w:val="clear" w:color="auto" w:fill="808080"/>
            <w:vAlign w:val="center"/>
          </w:tcPr>
          <w:p w14:paraId="00C31E1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Briquette</w:t>
            </w:r>
          </w:p>
        </w:tc>
        <w:tc>
          <w:tcPr>
            <w:tcW w:w="782" w:type="dxa"/>
            <w:shd w:val="clear" w:color="auto" w:fill="808080"/>
            <w:vAlign w:val="center"/>
          </w:tcPr>
          <w:p w14:paraId="5866A8B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Natural gas</w:t>
            </w:r>
          </w:p>
        </w:tc>
        <w:tc>
          <w:tcPr>
            <w:tcW w:w="782" w:type="dxa"/>
            <w:shd w:val="clear" w:color="auto" w:fill="808080"/>
            <w:vAlign w:val="center"/>
          </w:tcPr>
          <w:p w14:paraId="7563ED3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Crude oil</w:t>
            </w:r>
          </w:p>
        </w:tc>
        <w:tc>
          <w:tcPr>
            <w:tcW w:w="803" w:type="dxa"/>
            <w:shd w:val="clear" w:color="auto" w:fill="808080"/>
            <w:vAlign w:val="center"/>
          </w:tcPr>
          <w:p w14:paraId="15914AA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Petroleum fuel</w:t>
            </w:r>
          </w:p>
        </w:tc>
        <w:tc>
          <w:tcPr>
            <w:tcW w:w="781" w:type="dxa"/>
            <w:shd w:val="clear" w:color="auto" w:fill="808080"/>
            <w:vAlign w:val="center"/>
          </w:tcPr>
          <w:p w14:paraId="01E8B39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Biofuel</w:t>
            </w:r>
          </w:p>
        </w:tc>
        <w:tc>
          <w:tcPr>
            <w:tcW w:w="781" w:type="dxa"/>
            <w:shd w:val="clear" w:color="auto" w:fill="808080"/>
            <w:vAlign w:val="center"/>
          </w:tcPr>
          <w:p w14:paraId="573D9A8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Biogas</w:t>
            </w:r>
          </w:p>
        </w:tc>
        <w:tc>
          <w:tcPr>
            <w:tcW w:w="781" w:type="dxa"/>
            <w:shd w:val="clear" w:color="auto" w:fill="808080"/>
            <w:vAlign w:val="center"/>
          </w:tcPr>
          <w:p w14:paraId="715E8A4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LPG</w:t>
            </w:r>
          </w:p>
        </w:tc>
        <w:tc>
          <w:tcPr>
            <w:tcW w:w="790" w:type="dxa"/>
            <w:shd w:val="clear" w:color="auto" w:fill="808080"/>
            <w:vAlign w:val="center"/>
          </w:tcPr>
          <w:p w14:paraId="52ECD1F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Electricity</w:t>
            </w:r>
          </w:p>
        </w:tc>
        <w:tc>
          <w:tcPr>
            <w:tcW w:w="771" w:type="dxa"/>
            <w:shd w:val="clear" w:color="auto" w:fill="808080"/>
            <w:vAlign w:val="center"/>
          </w:tcPr>
          <w:p w14:paraId="623ECAE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LNG</w:t>
            </w:r>
          </w:p>
        </w:tc>
        <w:tc>
          <w:tcPr>
            <w:tcW w:w="790" w:type="dxa"/>
            <w:shd w:val="clear" w:color="auto" w:fill="808080"/>
            <w:vAlign w:val="center"/>
          </w:tcPr>
          <w:p w14:paraId="1DFB4DF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Total</w:t>
            </w:r>
          </w:p>
        </w:tc>
      </w:tr>
      <w:tr w:rsidR="00500FE4" w14:paraId="5E8AC3CA" w14:textId="77777777" w:rsidTr="00A031A6">
        <w:trPr>
          <w:trHeight w:val="283"/>
        </w:trPr>
        <w:tc>
          <w:tcPr>
            <w:tcW w:w="1136" w:type="dxa"/>
            <w:shd w:val="clear" w:color="auto" w:fill="E7E6E6"/>
            <w:vAlign w:val="center"/>
          </w:tcPr>
          <w:p w14:paraId="70E74C9C"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Primary energy supply</w:t>
            </w:r>
          </w:p>
        </w:tc>
        <w:tc>
          <w:tcPr>
            <w:tcW w:w="782" w:type="dxa"/>
            <w:shd w:val="clear" w:color="auto" w:fill="E7E6E6"/>
            <w:vAlign w:val="center"/>
          </w:tcPr>
          <w:p w14:paraId="7472F6E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shd w:val="clear" w:color="auto" w:fill="E7E6E6"/>
            <w:vAlign w:val="center"/>
          </w:tcPr>
          <w:p w14:paraId="7975F9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shd w:val="clear" w:color="auto" w:fill="E7E6E6"/>
            <w:vAlign w:val="center"/>
          </w:tcPr>
          <w:p w14:paraId="3DF0417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shd w:val="clear" w:color="auto" w:fill="E7E6E6"/>
            <w:vAlign w:val="center"/>
          </w:tcPr>
          <w:p w14:paraId="450B659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shd w:val="clear" w:color="auto" w:fill="E7E6E6"/>
            <w:vAlign w:val="center"/>
          </w:tcPr>
          <w:p w14:paraId="61452E0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shd w:val="clear" w:color="auto" w:fill="E7E6E6"/>
            <w:vAlign w:val="center"/>
          </w:tcPr>
          <w:p w14:paraId="3603395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shd w:val="clear" w:color="auto" w:fill="E7E6E6"/>
            <w:vAlign w:val="center"/>
          </w:tcPr>
          <w:p w14:paraId="34BB183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shd w:val="clear" w:color="auto" w:fill="E7E6E6"/>
            <w:vAlign w:val="center"/>
          </w:tcPr>
          <w:p w14:paraId="089DDC5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483,336</w:t>
            </w:r>
          </w:p>
        </w:tc>
        <w:tc>
          <w:tcPr>
            <w:tcW w:w="782" w:type="dxa"/>
            <w:shd w:val="clear" w:color="auto" w:fill="E7E6E6"/>
            <w:vAlign w:val="center"/>
          </w:tcPr>
          <w:p w14:paraId="2B1BAD7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5FDA3AE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413,373</w:t>
            </w:r>
          </w:p>
        </w:tc>
        <w:tc>
          <w:tcPr>
            <w:tcW w:w="782" w:type="dxa"/>
            <w:shd w:val="clear" w:color="auto" w:fill="E7E6E6"/>
            <w:vAlign w:val="center"/>
          </w:tcPr>
          <w:p w14:paraId="5212316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340,967</w:t>
            </w:r>
          </w:p>
        </w:tc>
        <w:tc>
          <w:tcPr>
            <w:tcW w:w="803" w:type="dxa"/>
            <w:shd w:val="clear" w:color="auto" w:fill="E7E6E6"/>
            <w:vAlign w:val="center"/>
          </w:tcPr>
          <w:p w14:paraId="1EFEA1A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180,875</w:t>
            </w:r>
          </w:p>
        </w:tc>
        <w:tc>
          <w:tcPr>
            <w:tcW w:w="781" w:type="dxa"/>
            <w:shd w:val="clear" w:color="auto" w:fill="E7E6E6"/>
            <w:vAlign w:val="center"/>
          </w:tcPr>
          <w:p w14:paraId="298B431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28,381</w:t>
            </w:r>
          </w:p>
        </w:tc>
        <w:tc>
          <w:tcPr>
            <w:tcW w:w="781" w:type="dxa"/>
            <w:shd w:val="clear" w:color="auto" w:fill="E7E6E6"/>
            <w:vAlign w:val="center"/>
          </w:tcPr>
          <w:p w14:paraId="5E9A1D5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shd w:val="clear" w:color="auto" w:fill="E7E6E6"/>
            <w:vAlign w:val="center"/>
          </w:tcPr>
          <w:p w14:paraId="5963F40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47,183</w:t>
            </w:r>
          </w:p>
        </w:tc>
        <w:tc>
          <w:tcPr>
            <w:tcW w:w="790" w:type="dxa"/>
            <w:shd w:val="clear" w:color="auto" w:fill="E7E6E6"/>
            <w:vAlign w:val="center"/>
          </w:tcPr>
          <w:p w14:paraId="6A95D2E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shd w:val="clear" w:color="auto" w:fill="E7E6E6"/>
            <w:vAlign w:val="center"/>
          </w:tcPr>
          <w:p w14:paraId="10C9261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-125,063</w:t>
            </w:r>
          </w:p>
        </w:tc>
        <w:tc>
          <w:tcPr>
            <w:tcW w:w="790" w:type="dxa"/>
            <w:shd w:val="clear" w:color="auto" w:fill="E7E6E6"/>
            <w:vAlign w:val="center"/>
          </w:tcPr>
          <w:p w14:paraId="0FC6F3FC"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1,533,808</w:t>
            </w:r>
          </w:p>
        </w:tc>
      </w:tr>
      <w:tr w:rsidR="00A031A6" w14:paraId="0D42BC0C" w14:textId="77777777" w:rsidTr="00A031A6">
        <w:trPr>
          <w:trHeight w:val="283"/>
        </w:trPr>
        <w:tc>
          <w:tcPr>
            <w:tcW w:w="1136" w:type="dxa"/>
            <w:vAlign w:val="center"/>
          </w:tcPr>
          <w:p w14:paraId="0C8613E6"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a. Production</w:t>
            </w:r>
          </w:p>
        </w:tc>
        <w:tc>
          <w:tcPr>
            <w:tcW w:w="782" w:type="dxa"/>
            <w:vAlign w:val="center"/>
          </w:tcPr>
          <w:p w14:paraId="0EB6072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vAlign w:val="center"/>
          </w:tcPr>
          <w:p w14:paraId="783DC15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vAlign w:val="center"/>
          </w:tcPr>
          <w:p w14:paraId="742EA30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vAlign w:val="center"/>
          </w:tcPr>
          <w:p w14:paraId="3C30685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vAlign w:val="center"/>
          </w:tcPr>
          <w:p w14:paraId="282042C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vAlign w:val="center"/>
          </w:tcPr>
          <w:p w14:paraId="78AF80D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vAlign w:val="center"/>
          </w:tcPr>
          <w:p w14:paraId="7FEEDE8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vAlign w:val="center"/>
          </w:tcPr>
          <w:p w14:paraId="09DB7E7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2,342,646</w:t>
            </w:r>
          </w:p>
        </w:tc>
        <w:tc>
          <w:tcPr>
            <w:tcW w:w="782" w:type="dxa"/>
            <w:vAlign w:val="center"/>
          </w:tcPr>
          <w:p w14:paraId="44906A1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3429E5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460,281</w:t>
            </w:r>
          </w:p>
        </w:tc>
        <w:tc>
          <w:tcPr>
            <w:tcW w:w="782" w:type="dxa"/>
            <w:vAlign w:val="center"/>
          </w:tcPr>
          <w:p w14:paraId="5DC0587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281,826</w:t>
            </w:r>
          </w:p>
        </w:tc>
        <w:tc>
          <w:tcPr>
            <w:tcW w:w="803" w:type="dxa"/>
            <w:vAlign w:val="center"/>
          </w:tcPr>
          <w:p w14:paraId="370F0C1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74F00E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40,011</w:t>
            </w:r>
          </w:p>
        </w:tc>
        <w:tc>
          <w:tcPr>
            <w:tcW w:w="781" w:type="dxa"/>
            <w:vAlign w:val="center"/>
          </w:tcPr>
          <w:p w14:paraId="0CE198A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vAlign w:val="center"/>
          </w:tcPr>
          <w:p w14:paraId="45A8E04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7AB0FFC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7352268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19DC95D"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3,289,520</w:t>
            </w:r>
          </w:p>
        </w:tc>
      </w:tr>
      <w:tr w:rsidR="00A031A6" w14:paraId="638B335D" w14:textId="77777777" w:rsidTr="00A031A6">
        <w:trPr>
          <w:trHeight w:val="283"/>
        </w:trPr>
        <w:tc>
          <w:tcPr>
            <w:tcW w:w="1136" w:type="dxa"/>
            <w:vAlign w:val="center"/>
          </w:tcPr>
          <w:p w14:paraId="5434C1DE"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b. Import</w:t>
            </w:r>
          </w:p>
        </w:tc>
        <w:tc>
          <w:tcPr>
            <w:tcW w:w="782" w:type="dxa"/>
            <w:vAlign w:val="center"/>
          </w:tcPr>
          <w:p w14:paraId="06FE539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65DA927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D30BBD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1A1EE5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5C410F9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6FEFB9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F07193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E5E22E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22,969</w:t>
            </w:r>
          </w:p>
        </w:tc>
        <w:tc>
          <w:tcPr>
            <w:tcW w:w="782" w:type="dxa"/>
            <w:vAlign w:val="center"/>
          </w:tcPr>
          <w:p w14:paraId="4C6DB0F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729C9C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92F4C1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113,055</w:t>
            </w:r>
          </w:p>
        </w:tc>
        <w:tc>
          <w:tcPr>
            <w:tcW w:w="803" w:type="dxa"/>
            <w:vAlign w:val="center"/>
          </w:tcPr>
          <w:p w14:paraId="7686AB9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165,725</w:t>
            </w:r>
          </w:p>
        </w:tc>
        <w:tc>
          <w:tcPr>
            <w:tcW w:w="781" w:type="dxa"/>
            <w:vAlign w:val="center"/>
          </w:tcPr>
          <w:p w14:paraId="2771207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39F724A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946406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47,453</w:t>
            </w:r>
          </w:p>
        </w:tc>
        <w:tc>
          <w:tcPr>
            <w:tcW w:w="790" w:type="dxa"/>
            <w:vAlign w:val="center"/>
          </w:tcPr>
          <w:p w14:paraId="7721CDE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66E4842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67AFEFB0"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349,202</w:t>
            </w:r>
          </w:p>
        </w:tc>
      </w:tr>
      <w:tr w:rsidR="00A031A6" w14:paraId="5CEC1AF6" w14:textId="77777777" w:rsidTr="00A031A6">
        <w:trPr>
          <w:trHeight w:val="283"/>
        </w:trPr>
        <w:tc>
          <w:tcPr>
            <w:tcW w:w="1136" w:type="dxa"/>
            <w:vAlign w:val="center"/>
          </w:tcPr>
          <w:p w14:paraId="6E3E5D5C"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c. Export</w:t>
            </w:r>
          </w:p>
        </w:tc>
        <w:tc>
          <w:tcPr>
            <w:tcW w:w="782" w:type="dxa"/>
            <w:vAlign w:val="center"/>
          </w:tcPr>
          <w:p w14:paraId="699085C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686A4BE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0EF113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E73860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30EA873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052822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856FF7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C9312A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1,496,858</w:t>
            </w:r>
          </w:p>
        </w:tc>
        <w:tc>
          <w:tcPr>
            <w:tcW w:w="782" w:type="dxa"/>
            <w:vAlign w:val="center"/>
          </w:tcPr>
          <w:p w14:paraId="61407B9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1D3578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-46,908</w:t>
            </w:r>
          </w:p>
        </w:tc>
        <w:tc>
          <w:tcPr>
            <w:tcW w:w="782" w:type="dxa"/>
            <w:vAlign w:val="center"/>
          </w:tcPr>
          <w:p w14:paraId="23D0DA6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-74,449</w:t>
            </w:r>
          </w:p>
        </w:tc>
        <w:tc>
          <w:tcPr>
            <w:tcW w:w="803" w:type="dxa"/>
            <w:vAlign w:val="center"/>
          </w:tcPr>
          <w:p w14:paraId="1E57D33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-2,244</w:t>
            </w:r>
          </w:p>
        </w:tc>
        <w:tc>
          <w:tcPr>
            <w:tcW w:w="781" w:type="dxa"/>
            <w:vAlign w:val="center"/>
          </w:tcPr>
          <w:p w14:paraId="2A4F23D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-11,630</w:t>
            </w:r>
          </w:p>
        </w:tc>
        <w:tc>
          <w:tcPr>
            <w:tcW w:w="781" w:type="dxa"/>
            <w:vAlign w:val="center"/>
          </w:tcPr>
          <w:p w14:paraId="391E21A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3FCFE5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w:t>
            </w:r>
          </w:p>
        </w:tc>
        <w:tc>
          <w:tcPr>
            <w:tcW w:w="790" w:type="dxa"/>
            <w:vAlign w:val="center"/>
          </w:tcPr>
          <w:p w14:paraId="2BB7570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3392A38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-125,063</w:t>
            </w:r>
          </w:p>
        </w:tc>
        <w:tc>
          <w:tcPr>
            <w:tcW w:w="790" w:type="dxa"/>
            <w:vAlign w:val="center"/>
          </w:tcPr>
          <w:p w14:paraId="1B99234E"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-1,757,156</w:t>
            </w:r>
          </w:p>
        </w:tc>
      </w:tr>
      <w:tr w:rsidR="00A031A6" w14:paraId="4598BEF6" w14:textId="77777777" w:rsidTr="00A031A6">
        <w:trPr>
          <w:trHeight w:val="283"/>
        </w:trPr>
        <w:tc>
          <w:tcPr>
            <w:tcW w:w="1136" w:type="dxa"/>
            <w:vAlign w:val="center"/>
          </w:tcPr>
          <w:p w14:paraId="68D32EF9"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d. Stock change</w:t>
            </w:r>
          </w:p>
        </w:tc>
        <w:tc>
          <w:tcPr>
            <w:tcW w:w="782" w:type="dxa"/>
            <w:vAlign w:val="center"/>
          </w:tcPr>
          <w:p w14:paraId="08BDFDF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7BC4E21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B21913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1CE0D7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38E706B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1FA543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B7D3D0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E9B5C8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-385,421</w:t>
            </w:r>
          </w:p>
        </w:tc>
        <w:tc>
          <w:tcPr>
            <w:tcW w:w="782" w:type="dxa"/>
            <w:vAlign w:val="center"/>
          </w:tcPr>
          <w:p w14:paraId="493AAF1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B5B063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E09C95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20,535</w:t>
            </w:r>
          </w:p>
        </w:tc>
        <w:tc>
          <w:tcPr>
            <w:tcW w:w="803" w:type="dxa"/>
            <w:vAlign w:val="center"/>
          </w:tcPr>
          <w:p w14:paraId="787ED1E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17,394</w:t>
            </w:r>
          </w:p>
        </w:tc>
        <w:tc>
          <w:tcPr>
            <w:tcW w:w="781" w:type="dxa"/>
            <w:vAlign w:val="center"/>
          </w:tcPr>
          <w:p w14:paraId="34481C1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D6B1BD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2117CD6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-266</w:t>
            </w:r>
          </w:p>
        </w:tc>
        <w:tc>
          <w:tcPr>
            <w:tcW w:w="790" w:type="dxa"/>
            <w:vAlign w:val="center"/>
          </w:tcPr>
          <w:p w14:paraId="292F375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136ADF6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0609EB69"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-347,758</w:t>
            </w:r>
          </w:p>
        </w:tc>
      </w:tr>
      <w:tr w:rsidR="00500FE4" w14:paraId="3EB944C0" w14:textId="77777777" w:rsidTr="00A031A6">
        <w:trPr>
          <w:trHeight w:val="283"/>
        </w:trPr>
        <w:tc>
          <w:tcPr>
            <w:tcW w:w="1136" w:type="dxa"/>
            <w:shd w:val="clear" w:color="auto" w:fill="E7E6E6"/>
            <w:vAlign w:val="center"/>
          </w:tcPr>
          <w:p w14:paraId="0FE2B677"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Energy transformation</w:t>
            </w:r>
          </w:p>
        </w:tc>
        <w:tc>
          <w:tcPr>
            <w:tcW w:w="782" w:type="dxa"/>
            <w:shd w:val="clear" w:color="auto" w:fill="E7E6E6"/>
            <w:vAlign w:val="center"/>
          </w:tcPr>
          <w:p w14:paraId="077EB79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shd w:val="clear" w:color="auto" w:fill="E7E6E6"/>
            <w:vAlign w:val="center"/>
          </w:tcPr>
          <w:p w14:paraId="2355025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shd w:val="clear" w:color="auto" w:fill="E7E6E6"/>
            <w:vAlign w:val="center"/>
          </w:tcPr>
          <w:p w14:paraId="0F47236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shd w:val="clear" w:color="auto" w:fill="E7E6E6"/>
            <w:vAlign w:val="center"/>
          </w:tcPr>
          <w:p w14:paraId="372562C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shd w:val="clear" w:color="auto" w:fill="E7E6E6"/>
            <w:vAlign w:val="center"/>
          </w:tcPr>
          <w:p w14:paraId="304A857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shd w:val="clear" w:color="auto" w:fill="E7E6E6"/>
            <w:vAlign w:val="center"/>
          </w:tcPr>
          <w:p w14:paraId="35F0048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shd w:val="clear" w:color="auto" w:fill="E7E6E6"/>
            <w:vAlign w:val="center"/>
          </w:tcPr>
          <w:p w14:paraId="53EA42A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5D0CB0F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-382,830</w:t>
            </w:r>
          </w:p>
        </w:tc>
        <w:tc>
          <w:tcPr>
            <w:tcW w:w="782" w:type="dxa"/>
            <w:shd w:val="clear" w:color="auto" w:fill="E7E6E6"/>
            <w:vAlign w:val="center"/>
          </w:tcPr>
          <w:p w14:paraId="4AED4CC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shd w:val="clear" w:color="auto" w:fill="E7E6E6"/>
            <w:vAlign w:val="center"/>
          </w:tcPr>
          <w:p w14:paraId="0CA6EA0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-279,979</w:t>
            </w:r>
          </w:p>
        </w:tc>
        <w:tc>
          <w:tcPr>
            <w:tcW w:w="782" w:type="dxa"/>
            <w:shd w:val="clear" w:color="auto" w:fill="E7E6E6"/>
            <w:vAlign w:val="center"/>
          </w:tcPr>
          <w:p w14:paraId="7A6CB47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-334,281</w:t>
            </w:r>
          </w:p>
        </w:tc>
        <w:tc>
          <w:tcPr>
            <w:tcW w:w="803" w:type="dxa"/>
            <w:shd w:val="clear" w:color="auto" w:fill="E7E6E6"/>
            <w:vAlign w:val="center"/>
          </w:tcPr>
          <w:p w14:paraId="3753C2E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270,737</w:t>
            </w:r>
          </w:p>
        </w:tc>
        <w:tc>
          <w:tcPr>
            <w:tcW w:w="781" w:type="dxa"/>
            <w:shd w:val="clear" w:color="auto" w:fill="E7E6E6"/>
            <w:vAlign w:val="center"/>
          </w:tcPr>
          <w:p w14:paraId="2368B5A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-24,327</w:t>
            </w:r>
          </w:p>
        </w:tc>
        <w:tc>
          <w:tcPr>
            <w:tcW w:w="781" w:type="dxa"/>
            <w:shd w:val="clear" w:color="auto" w:fill="E7E6E6"/>
            <w:vAlign w:val="center"/>
          </w:tcPr>
          <w:p w14:paraId="030E18D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14:paraId="4EDCDBE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17,282</w:t>
            </w:r>
          </w:p>
        </w:tc>
        <w:tc>
          <w:tcPr>
            <w:tcW w:w="790" w:type="dxa"/>
            <w:shd w:val="clear" w:color="auto" w:fill="E7E6E6"/>
            <w:vAlign w:val="center"/>
          </w:tcPr>
          <w:p w14:paraId="09EC41C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173,979</w:t>
            </w:r>
          </w:p>
        </w:tc>
        <w:tc>
          <w:tcPr>
            <w:tcW w:w="771" w:type="dxa"/>
            <w:shd w:val="clear" w:color="auto" w:fill="E7E6E6"/>
            <w:vAlign w:val="center"/>
          </w:tcPr>
          <w:p w14:paraId="47A41D2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153,612</w:t>
            </w:r>
          </w:p>
        </w:tc>
        <w:tc>
          <w:tcPr>
            <w:tcW w:w="790" w:type="dxa"/>
            <w:shd w:val="clear" w:color="auto" w:fill="E7E6E6"/>
            <w:vAlign w:val="center"/>
          </w:tcPr>
          <w:p w14:paraId="7DFF1AEF"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-502,609</w:t>
            </w:r>
          </w:p>
        </w:tc>
      </w:tr>
      <w:tr w:rsidR="00A031A6" w14:paraId="252A30BF" w14:textId="77777777" w:rsidTr="00A031A6">
        <w:trPr>
          <w:trHeight w:val="283"/>
        </w:trPr>
        <w:tc>
          <w:tcPr>
            <w:tcW w:w="1136" w:type="dxa"/>
            <w:vAlign w:val="center"/>
          </w:tcPr>
          <w:p w14:paraId="648F5263"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a. Refinery</w:t>
            </w:r>
          </w:p>
        </w:tc>
        <w:tc>
          <w:tcPr>
            <w:tcW w:w="782" w:type="dxa"/>
            <w:vAlign w:val="center"/>
          </w:tcPr>
          <w:p w14:paraId="69589B9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07560B3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AF7D24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04BD81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58AD0D4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1E3DF8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E02D30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D6661A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BBC1CC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AA9D10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-3,801</w:t>
            </w:r>
          </w:p>
        </w:tc>
        <w:tc>
          <w:tcPr>
            <w:tcW w:w="782" w:type="dxa"/>
            <w:vAlign w:val="center"/>
          </w:tcPr>
          <w:p w14:paraId="6FC5746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-334,281</w:t>
            </w:r>
          </w:p>
        </w:tc>
        <w:tc>
          <w:tcPr>
            <w:tcW w:w="803" w:type="dxa"/>
            <w:vAlign w:val="center"/>
          </w:tcPr>
          <w:p w14:paraId="050F725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275,171</w:t>
            </w:r>
          </w:p>
        </w:tc>
        <w:tc>
          <w:tcPr>
            <w:tcW w:w="781" w:type="dxa"/>
            <w:vAlign w:val="center"/>
          </w:tcPr>
          <w:p w14:paraId="3CA2C5E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B90102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0C7A59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7,530</w:t>
            </w:r>
          </w:p>
        </w:tc>
        <w:tc>
          <w:tcPr>
            <w:tcW w:w="790" w:type="dxa"/>
            <w:vAlign w:val="center"/>
          </w:tcPr>
          <w:p w14:paraId="362794E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2787301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084DA11B"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-55,381</w:t>
            </w:r>
          </w:p>
        </w:tc>
      </w:tr>
      <w:tr w:rsidR="00A031A6" w14:paraId="0924864A" w14:textId="77777777" w:rsidTr="00A031A6">
        <w:trPr>
          <w:trHeight w:val="283"/>
        </w:trPr>
        <w:tc>
          <w:tcPr>
            <w:tcW w:w="1136" w:type="dxa"/>
            <w:vAlign w:val="center"/>
          </w:tcPr>
          <w:p w14:paraId="5E9CE21B"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b. Gas processing</w:t>
            </w:r>
          </w:p>
        </w:tc>
        <w:tc>
          <w:tcPr>
            <w:tcW w:w="782" w:type="dxa"/>
            <w:vAlign w:val="center"/>
          </w:tcPr>
          <w:p w14:paraId="439B140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2F5C31C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EEF56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ED520F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115FA39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D13A03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4F7097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4331B1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7A3C4D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0C2FA0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-179,391</w:t>
            </w:r>
          </w:p>
        </w:tc>
        <w:tc>
          <w:tcPr>
            <w:tcW w:w="782" w:type="dxa"/>
            <w:vAlign w:val="center"/>
          </w:tcPr>
          <w:p w14:paraId="52FF499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26B71EA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A1F576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F685AA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16BF71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9,752</w:t>
            </w:r>
          </w:p>
        </w:tc>
        <w:tc>
          <w:tcPr>
            <w:tcW w:w="790" w:type="dxa"/>
            <w:vAlign w:val="center"/>
          </w:tcPr>
          <w:p w14:paraId="05F30F9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58A9CC5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180,174</w:t>
            </w:r>
          </w:p>
        </w:tc>
        <w:tc>
          <w:tcPr>
            <w:tcW w:w="790" w:type="dxa"/>
            <w:vAlign w:val="center"/>
          </w:tcPr>
          <w:p w14:paraId="051170E4"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10,535</w:t>
            </w:r>
          </w:p>
        </w:tc>
      </w:tr>
      <w:tr w:rsidR="00A031A6" w14:paraId="37F1E953" w14:textId="77777777" w:rsidTr="00A031A6">
        <w:trPr>
          <w:trHeight w:val="283"/>
        </w:trPr>
        <w:tc>
          <w:tcPr>
            <w:tcW w:w="1136" w:type="dxa"/>
            <w:vAlign w:val="center"/>
          </w:tcPr>
          <w:p w14:paraId="594085D8"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b. LNG regasification</w:t>
            </w:r>
          </w:p>
        </w:tc>
        <w:tc>
          <w:tcPr>
            <w:tcW w:w="782" w:type="dxa"/>
            <w:vAlign w:val="center"/>
          </w:tcPr>
          <w:p w14:paraId="1B5B9BD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24756D6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7F3D9E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0FB043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68DDFD5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74CA52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269C6D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EFE7DA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4281F9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250406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BC3FF9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09304E7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1D3E440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8C5A25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0F24BA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7A4D5AB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049D69B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-25,666</w:t>
            </w:r>
          </w:p>
        </w:tc>
        <w:tc>
          <w:tcPr>
            <w:tcW w:w="790" w:type="dxa"/>
            <w:vAlign w:val="center"/>
          </w:tcPr>
          <w:p w14:paraId="25EE0992"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-25,666</w:t>
            </w:r>
          </w:p>
        </w:tc>
      </w:tr>
      <w:tr w:rsidR="00A031A6" w14:paraId="26559AA6" w14:textId="77777777" w:rsidTr="00A031A6">
        <w:trPr>
          <w:trHeight w:val="283"/>
        </w:trPr>
        <w:tc>
          <w:tcPr>
            <w:tcW w:w="1136" w:type="dxa"/>
            <w:vAlign w:val="center"/>
          </w:tcPr>
          <w:p w14:paraId="5690F356"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c. Coal processing plant</w:t>
            </w:r>
          </w:p>
        </w:tc>
        <w:tc>
          <w:tcPr>
            <w:tcW w:w="782" w:type="dxa"/>
            <w:vAlign w:val="center"/>
          </w:tcPr>
          <w:p w14:paraId="11D4107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0F87B5F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45C825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C0069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46DAE6B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6D2480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C2157C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631727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-42</w:t>
            </w:r>
          </w:p>
        </w:tc>
        <w:tc>
          <w:tcPr>
            <w:tcW w:w="782" w:type="dxa"/>
            <w:vAlign w:val="center"/>
          </w:tcPr>
          <w:p w14:paraId="32002A4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vAlign w:val="center"/>
          </w:tcPr>
          <w:p w14:paraId="4B62955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00944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1E9452B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3B36D76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1F273D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0D52EEC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419E07F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66A3EB1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97DB355"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-6</w:t>
            </w:r>
          </w:p>
        </w:tc>
      </w:tr>
      <w:tr w:rsidR="00A031A6" w14:paraId="6D6A3D1E" w14:textId="77777777" w:rsidTr="00A031A6">
        <w:trPr>
          <w:trHeight w:val="283"/>
        </w:trPr>
        <w:tc>
          <w:tcPr>
            <w:tcW w:w="1136" w:type="dxa"/>
            <w:vAlign w:val="center"/>
          </w:tcPr>
          <w:p w14:paraId="3D1A92D2"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d. Biofuel blending</w:t>
            </w:r>
          </w:p>
        </w:tc>
        <w:tc>
          <w:tcPr>
            <w:tcW w:w="782" w:type="dxa"/>
            <w:vAlign w:val="center"/>
          </w:tcPr>
          <w:p w14:paraId="3F7F44D3" w14:textId="77777777" w:rsidR="00A031A6" w:rsidRDefault="00A031A6">
            <w:pPr>
              <w:spacing w:line="360" w:lineRule="auto"/>
              <w:jc w:val="center"/>
              <w:rPr>
                <w:rFonts w:ascii="Arial" w:eastAsia="Arial" w:hAnsi="Arial" w:cs="Arial"/>
                <w:sz w:val="8"/>
                <w:szCs w:val="8"/>
              </w:rPr>
            </w:pPr>
          </w:p>
        </w:tc>
        <w:tc>
          <w:tcPr>
            <w:tcW w:w="883" w:type="dxa"/>
            <w:vAlign w:val="center"/>
          </w:tcPr>
          <w:p w14:paraId="108037E2" w14:textId="77777777" w:rsidR="00A031A6" w:rsidRDefault="00A031A6">
            <w:pPr>
              <w:spacing w:line="360" w:lineRule="auto"/>
              <w:jc w:val="center"/>
              <w:rPr>
                <w:rFonts w:ascii="Arial" w:eastAsia="Arial" w:hAnsi="Arial" w:cs="Arial"/>
                <w:sz w:val="8"/>
                <w:szCs w:val="8"/>
              </w:rPr>
            </w:pPr>
          </w:p>
        </w:tc>
        <w:tc>
          <w:tcPr>
            <w:tcW w:w="782" w:type="dxa"/>
            <w:vAlign w:val="center"/>
          </w:tcPr>
          <w:p w14:paraId="21EC9BCA" w14:textId="77777777" w:rsidR="00A031A6" w:rsidRDefault="00A031A6">
            <w:pPr>
              <w:spacing w:line="360" w:lineRule="auto"/>
              <w:jc w:val="center"/>
              <w:rPr>
                <w:rFonts w:ascii="Arial" w:eastAsia="Arial" w:hAnsi="Arial" w:cs="Arial"/>
                <w:sz w:val="8"/>
                <w:szCs w:val="8"/>
              </w:rPr>
            </w:pPr>
          </w:p>
        </w:tc>
        <w:tc>
          <w:tcPr>
            <w:tcW w:w="782" w:type="dxa"/>
            <w:vAlign w:val="center"/>
          </w:tcPr>
          <w:p w14:paraId="0D216130" w14:textId="77777777" w:rsidR="00A031A6" w:rsidRDefault="00A031A6">
            <w:pPr>
              <w:spacing w:line="360" w:lineRule="auto"/>
              <w:jc w:val="center"/>
              <w:rPr>
                <w:rFonts w:ascii="Arial" w:eastAsia="Arial" w:hAnsi="Arial" w:cs="Arial"/>
                <w:sz w:val="8"/>
                <w:szCs w:val="8"/>
              </w:rPr>
            </w:pPr>
          </w:p>
        </w:tc>
        <w:tc>
          <w:tcPr>
            <w:tcW w:w="871" w:type="dxa"/>
            <w:vAlign w:val="center"/>
          </w:tcPr>
          <w:p w14:paraId="549A28E1" w14:textId="77777777" w:rsidR="00A031A6" w:rsidRDefault="00A031A6">
            <w:pPr>
              <w:spacing w:line="360" w:lineRule="auto"/>
              <w:jc w:val="center"/>
              <w:rPr>
                <w:rFonts w:ascii="Arial" w:eastAsia="Arial" w:hAnsi="Arial" w:cs="Arial"/>
                <w:sz w:val="8"/>
                <w:szCs w:val="8"/>
              </w:rPr>
            </w:pPr>
          </w:p>
        </w:tc>
        <w:tc>
          <w:tcPr>
            <w:tcW w:w="782" w:type="dxa"/>
            <w:vAlign w:val="center"/>
          </w:tcPr>
          <w:p w14:paraId="391F33A7" w14:textId="77777777" w:rsidR="00A031A6" w:rsidRDefault="00A031A6">
            <w:pPr>
              <w:spacing w:line="360" w:lineRule="auto"/>
              <w:jc w:val="center"/>
              <w:rPr>
                <w:rFonts w:ascii="Arial" w:eastAsia="Arial" w:hAnsi="Arial" w:cs="Arial"/>
                <w:sz w:val="8"/>
                <w:szCs w:val="8"/>
              </w:rPr>
            </w:pPr>
          </w:p>
        </w:tc>
        <w:tc>
          <w:tcPr>
            <w:tcW w:w="782" w:type="dxa"/>
            <w:vAlign w:val="center"/>
          </w:tcPr>
          <w:p w14:paraId="7D0D676E" w14:textId="77777777" w:rsidR="00A031A6" w:rsidRDefault="00A031A6">
            <w:pPr>
              <w:spacing w:line="360" w:lineRule="auto"/>
              <w:jc w:val="center"/>
              <w:rPr>
                <w:rFonts w:ascii="Arial" w:eastAsia="Arial" w:hAnsi="Arial" w:cs="Arial"/>
                <w:sz w:val="8"/>
                <w:szCs w:val="8"/>
              </w:rPr>
            </w:pPr>
          </w:p>
        </w:tc>
        <w:tc>
          <w:tcPr>
            <w:tcW w:w="782" w:type="dxa"/>
            <w:vAlign w:val="center"/>
          </w:tcPr>
          <w:p w14:paraId="0645D808" w14:textId="77777777" w:rsidR="00A031A6" w:rsidRDefault="00A031A6">
            <w:pPr>
              <w:spacing w:line="360" w:lineRule="auto"/>
              <w:jc w:val="center"/>
              <w:rPr>
                <w:rFonts w:ascii="Arial" w:eastAsia="Arial" w:hAnsi="Arial" w:cs="Arial"/>
                <w:sz w:val="8"/>
                <w:szCs w:val="8"/>
              </w:rPr>
            </w:pPr>
          </w:p>
        </w:tc>
        <w:tc>
          <w:tcPr>
            <w:tcW w:w="782" w:type="dxa"/>
            <w:vAlign w:val="center"/>
          </w:tcPr>
          <w:p w14:paraId="407D6221" w14:textId="77777777" w:rsidR="00A031A6" w:rsidRDefault="00A031A6">
            <w:pPr>
              <w:spacing w:line="360" w:lineRule="auto"/>
              <w:jc w:val="center"/>
              <w:rPr>
                <w:rFonts w:ascii="Arial" w:eastAsia="Arial" w:hAnsi="Arial" w:cs="Arial"/>
                <w:sz w:val="8"/>
                <w:szCs w:val="8"/>
              </w:rPr>
            </w:pPr>
          </w:p>
        </w:tc>
        <w:tc>
          <w:tcPr>
            <w:tcW w:w="782" w:type="dxa"/>
            <w:vAlign w:val="center"/>
          </w:tcPr>
          <w:p w14:paraId="252A60CF" w14:textId="77777777" w:rsidR="00A031A6" w:rsidRDefault="00A031A6">
            <w:pPr>
              <w:spacing w:line="360" w:lineRule="auto"/>
              <w:jc w:val="center"/>
              <w:rPr>
                <w:rFonts w:ascii="Arial" w:eastAsia="Arial" w:hAnsi="Arial" w:cs="Arial"/>
                <w:sz w:val="8"/>
                <w:szCs w:val="8"/>
              </w:rPr>
            </w:pPr>
          </w:p>
        </w:tc>
        <w:tc>
          <w:tcPr>
            <w:tcW w:w="782" w:type="dxa"/>
            <w:vAlign w:val="center"/>
          </w:tcPr>
          <w:p w14:paraId="65D0B05A" w14:textId="77777777" w:rsidR="00A031A6" w:rsidRDefault="00A031A6">
            <w:pPr>
              <w:spacing w:line="360" w:lineRule="auto"/>
              <w:jc w:val="center"/>
              <w:rPr>
                <w:rFonts w:ascii="Arial" w:eastAsia="Arial" w:hAnsi="Arial" w:cs="Arial"/>
                <w:sz w:val="8"/>
                <w:szCs w:val="8"/>
              </w:rPr>
            </w:pPr>
          </w:p>
        </w:tc>
        <w:tc>
          <w:tcPr>
            <w:tcW w:w="803" w:type="dxa"/>
            <w:vAlign w:val="center"/>
          </w:tcPr>
          <w:p w14:paraId="120A4DA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24,327</w:t>
            </w:r>
          </w:p>
        </w:tc>
        <w:tc>
          <w:tcPr>
            <w:tcW w:w="781" w:type="dxa"/>
            <w:vAlign w:val="center"/>
          </w:tcPr>
          <w:p w14:paraId="3051DB2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-24,327</w:t>
            </w:r>
          </w:p>
        </w:tc>
        <w:tc>
          <w:tcPr>
            <w:tcW w:w="781" w:type="dxa"/>
            <w:vAlign w:val="center"/>
          </w:tcPr>
          <w:p w14:paraId="4F515F0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FB86789" w14:textId="77777777" w:rsidR="00A031A6" w:rsidRDefault="00A031A6">
            <w:pPr>
              <w:spacing w:line="360" w:lineRule="auto"/>
              <w:jc w:val="center"/>
              <w:rPr>
                <w:rFonts w:ascii="Arial" w:eastAsia="Arial" w:hAnsi="Arial" w:cs="Arial"/>
                <w:sz w:val="8"/>
                <w:szCs w:val="8"/>
              </w:rPr>
            </w:pPr>
          </w:p>
        </w:tc>
        <w:tc>
          <w:tcPr>
            <w:tcW w:w="790" w:type="dxa"/>
            <w:vAlign w:val="center"/>
          </w:tcPr>
          <w:p w14:paraId="6068EF99" w14:textId="77777777" w:rsidR="00A031A6" w:rsidRDefault="00A031A6">
            <w:pPr>
              <w:spacing w:line="360" w:lineRule="auto"/>
              <w:jc w:val="center"/>
              <w:rPr>
                <w:rFonts w:ascii="Arial" w:eastAsia="Arial" w:hAnsi="Arial" w:cs="Arial"/>
                <w:sz w:val="8"/>
                <w:szCs w:val="8"/>
              </w:rPr>
            </w:pPr>
          </w:p>
        </w:tc>
        <w:tc>
          <w:tcPr>
            <w:tcW w:w="771" w:type="dxa"/>
            <w:vAlign w:val="center"/>
          </w:tcPr>
          <w:p w14:paraId="34BCB219" w14:textId="77777777" w:rsidR="00A031A6" w:rsidRDefault="00A031A6">
            <w:pPr>
              <w:spacing w:line="360" w:lineRule="auto"/>
              <w:jc w:val="center"/>
              <w:rPr>
                <w:rFonts w:ascii="Arial" w:eastAsia="Arial" w:hAnsi="Arial" w:cs="Arial"/>
                <w:sz w:val="8"/>
                <w:szCs w:val="8"/>
              </w:rPr>
            </w:pPr>
          </w:p>
        </w:tc>
        <w:tc>
          <w:tcPr>
            <w:tcW w:w="790" w:type="dxa"/>
            <w:vAlign w:val="center"/>
          </w:tcPr>
          <w:p w14:paraId="46094A0A"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0</w:t>
            </w:r>
          </w:p>
        </w:tc>
      </w:tr>
      <w:tr w:rsidR="00A031A6" w14:paraId="6BD9DA51" w14:textId="77777777" w:rsidTr="00A031A6">
        <w:trPr>
          <w:trHeight w:val="283"/>
        </w:trPr>
        <w:tc>
          <w:tcPr>
            <w:tcW w:w="1136" w:type="dxa"/>
            <w:vAlign w:val="center"/>
          </w:tcPr>
          <w:p w14:paraId="1FB79FC9"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e. Power plant</w:t>
            </w:r>
          </w:p>
        </w:tc>
        <w:tc>
          <w:tcPr>
            <w:tcW w:w="782" w:type="dxa"/>
            <w:vAlign w:val="center"/>
          </w:tcPr>
          <w:p w14:paraId="6279AD7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-40,205</w:t>
            </w:r>
          </w:p>
        </w:tc>
        <w:tc>
          <w:tcPr>
            <w:tcW w:w="883" w:type="dxa"/>
            <w:vAlign w:val="center"/>
          </w:tcPr>
          <w:p w14:paraId="7100D16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-26,041</w:t>
            </w:r>
          </w:p>
        </w:tc>
        <w:tc>
          <w:tcPr>
            <w:tcW w:w="782" w:type="dxa"/>
            <w:vAlign w:val="center"/>
          </w:tcPr>
          <w:p w14:paraId="476F0D9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-359</w:t>
            </w:r>
          </w:p>
        </w:tc>
        <w:tc>
          <w:tcPr>
            <w:tcW w:w="782" w:type="dxa"/>
            <w:vAlign w:val="center"/>
          </w:tcPr>
          <w:p w14:paraId="0A69A00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-466</w:t>
            </w:r>
          </w:p>
        </w:tc>
        <w:tc>
          <w:tcPr>
            <w:tcW w:w="871" w:type="dxa"/>
            <w:vAlign w:val="center"/>
          </w:tcPr>
          <w:p w14:paraId="112D8A5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-29,758</w:t>
            </w:r>
          </w:p>
        </w:tc>
        <w:tc>
          <w:tcPr>
            <w:tcW w:w="782" w:type="dxa"/>
            <w:vAlign w:val="center"/>
          </w:tcPr>
          <w:p w14:paraId="1B20AB8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vAlign w:val="center"/>
          </w:tcPr>
          <w:p w14:paraId="4F61534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3C4A09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-382,788</w:t>
            </w:r>
          </w:p>
        </w:tc>
        <w:tc>
          <w:tcPr>
            <w:tcW w:w="782" w:type="dxa"/>
            <w:vAlign w:val="center"/>
          </w:tcPr>
          <w:p w14:paraId="0951738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4C913F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-96,788</w:t>
            </w:r>
          </w:p>
        </w:tc>
        <w:tc>
          <w:tcPr>
            <w:tcW w:w="782" w:type="dxa"/>
            <w:vAlign w:val="center"/>
          </w:tcPr>
          <w:p w14:paraId="011017D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616E770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-28,761</w:t>
            </w:r>
          </w:p>
        </w:tc>
        <w:tc>
          <w:tcPr>
            <w:tcW w:w="781" w:type="dxa"/>
            <w:vAlign w:val="center"/>
          </w:tcPr>
          <w:p w14:paraId="65D93A0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9943F3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2748FF1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66DCE7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173,979</w:t>
            </w:r>
          </w:p>
        </w:tc>
        <w:tc>
          <w:tcPr>
            <w:tcW w:w="771" w:type="dxa"/>
            <w:vAlign w:val="center"/>
          </w:tcPr>
          <w:p w14:paraId="2D97B52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-896</w:t>
            </w:r>
          </w:p>
        </w:tc>
        <w:tc>
          <w:tcPr>
            <w:tcW w:w="790" w:type="dxa"/>
            <w:vAlign w:val="center"/>
          </w:tcPr>
          <w:p w14:paraId="300C8868"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-432,092</w:t>
            </w:r>
          </w:p>
        </w:tc>
      </w:tr>
      <w:tr w:rsidR="00A031A6" w14:paraId="7023FD2F" w14:textId="77777777" w:rsidTr="00A031A6">
        <w:trPr>
          <w:trHeight w:val="283"/>
        </w:trPr>
        <w:tc>
          <w:tcPr>
            <w:tcW w:w="1136" w:type="dxa"/>
            <w:vAlign w:val="center"/>
          </w:tcPr>
          <w:p w14:paraId="1F993BC8"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State-owned Utility (PLN)</w:t>
            </w:r>
          </w:p>
        </w:tc>
        <w:tc>
          <w:tcPr>
            <w:tcW w:w="782" w:type="dxa"/>
            <w:vAlign w:val="center"/>
          </w:tcPr>
          <w:p w14:paraId="54971FE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-19,929</w:t>
            </w:r>
          </w:p>
        </w:tc>
        <w:tc>
          <w:tcPr>
            <w:tcW w:w="883" w:type="dxa"/>
            <w:vAlign w:val="center"/>
          </w:tcPr>
          <w:p w14:paraId="44B0B0B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-7,454</w:t>
            </w:r>
          </w:p>
        </w:tc>
        <w:tc>
          <w:tcPr>
            <w:tcW w:w="782" w:type="dxa"/>
            <w:vAlign w:val="center"/>
          </w:tcPr>
          <w:p w14:paraId="49796D9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-22</w:t>
            </w:r>
          </w:p>
        </w:tc>
        <w:tc>
          <w:tcPr>
            <w:tcW w:w="782" w:type="dxa"/>
            <w:vAlign w:val="center"/>
          </w:tcPr>
          <w:p w14:paraId="526D603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4911FB1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-695</w:t>
            </w:r>
          </w:p>
        </w:tc>
        <w:tc>
          <w:tcPr>
            <w:tcW w:w="782" w:type="dxa"/>
            <w:vAlign w:val="center"/>
          </w:tcPr>
          <w:p w14:paraId="51D9C57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A7A587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2A0204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-254,021</w:t>
            </w:r>
          </w:p>
        </w:tc>
        <w:tc>
          <w:tcPr>
            <w:tcW w:w="782" w:type="dxa"/>
            <w:vAlign w:val="center"/>
          </w:tcPr>
          <w:p w14:paraId="4402F7D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0EBE2B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-83,589</w:t>
            </w:r>
          </w:p>
        </w:tc>
        <w:tc>
          <w:tcPr>
            <w:tcW w:w="782" w:type="dxa"/>
            <w:vAlign w:val="center"/>
          </w:tcPr>
          <w:p w14:paraId="3464F22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1FAB799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-28,750</w:t>
            </w:r>
          </w:p>
        </w:tc>
        <w:tc>
          <w:tcPr>
            <w:tcW w:w="781" w:type="dxa"/>
            <w:vAlign w:val="center"/>
          </w:tcPr>
          <w:p w14:paraId="1063ABF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AC9A32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04843F3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607A287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115,672</w:t>
            </w:r>
          </w:p>
        </w:tc>
        <w:tc>
          <w:tcPr>
            <w:tcW w:w="771" w:type="dxa"/>
            <w:vAlign w:val="center"/>
          </w:tcPr>
          <w:p w14:paraId="496EAD3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-896</w:t>
            </w:r>
          </w:p>
        </w:tc>
        <w:tc>
          <w:tcPr>
            <w:tcW w:w="790" w:type="dxa"/>
            <w:vAlign w:val="center"/>
          </w:tcPr>
          <w:p w14:paraId="35F76D2C"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-279,684</w:t>
            </w:r>
          </w:p>
        </w:tc>
      </w:tr>
      <w:tr w:rsidR="00A031A6" w14:paraId="3D0B9342" w14:textId="77777777" w:rsidTr="00A031A6">
        <w:trPr>
          <w:trHeight w:val="283"/>
        </w:trPr>
        <w:tc>
          <w:tcPr>
            <w:tcW w:w="1136" w:type="dxa"/>
            <w:vAlign w:val="center"/>
          </w:tcPr>
          <w:p w14:paraId="2FB4E9DD"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Independent power producer (Non-PLN)</w:t>
            </w:r>
          </w:p>
        </w:tc>
        <w:tc>
          <w:tcPr>
            <w:tcW w:w="782" w:type="dxa"/>
            <w:vAlign w:val="center"/>
          </w:tcPr>
          <w:p w14:paraId="4A7C8B7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-11,329</w:t>
            </w:r>
          </w:p>
        </w:tc>
        <w:tc>
          <w:tcPr>
            <w:tcW w:w="883" w:type="dxa"/>
            <w:vAlign w:val="center"/>
          </w:tcPr>
          <w:p w14:paraId="26FE44D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-18,587</w:t>
            </w:r>
          </w:p>
        </w:tc>
        <w:tc>
          <w:tcPr>
            <w:tcW w:w="782" w:type="dxa"/>
            <w:vAlign w:val="center"/>
          </w:tcPr>
          <w:p w14:paraId="03A2ECC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-73</w:t>
            </w:r>
          </w:p>
        </w:tc>
        <w:tc>
          <w:tcPr>
            <w:tcW w:w="782" w:type="dxa"/>
            <w:vAlign w:val="center"/>
          </w:tcPr>
          <w:p w14:paraId="1C635D6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-461</w:t>
            </w:r>
          </w:p>
        </w:tc>
        <w:tc>
          <w:tcPr>
            <w:tcW w:w="871" w:type="dxa"/>
            <w:vAlign w:val="center"/>
          </w:tcPr>
          <w:p w14:paraId="2B01EAB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-95</w:t>
            </w:r>
          </w:p>
        </w:tc>
        <w:tc>
          <w:tcPr>
            <w:tcW w:w="782" w:type="dxa"/>
            <w:vAlign w:val="center"/>
          </w:tcPr>
          <w:p w14:paraId="03973DB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C273BE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832872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-128,767</w:t>
            </w:r>
          </w:p>
        </w:tc>
        <w:tc>
          <w:tcPr>
            <w:tcW w:w="782" w:type="dxa"/>
            <w:vAlign w:val="center"/>
          </w:tcPr>
          <w:p w14:paraId="7578BD4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4018D1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-13,198</w:t>
            </w:r>
          </w:p>
        </w:tc>
        <w:tc>
          <w:tcPr>
            <w:tcW w:w="782" w:type="dxa"/>
            <w:vAlign w:val="center"/>
          </w:tcPr>
          <w:p w14:paraId="3A8F0FA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1D58B1D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-11</w:t>
            </w:r>
          </w:p>
        </w:tc>
        <w:tc>
          <w:tcPr>
            <w:tcW w:w="781" w:type="dxa"/>
            <w:vAlign w:val="center"/>
          </w:tcPr>
          <w:p w14:paraId="6EAB711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21DDC4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0E98DC6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194CF76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48,075</w:t>
            </w:r>
          </w:p>
        </w:tc>
        <w:tc>
          <w:tcPr>
            <w:tcW w:w="771" w:type="dxa"/>
            <w:vAlign w:val="center"/>
          </w:tcPr>
          <w:p w14:paraId="38BBC79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16E3D268"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-124,446</w:t>
            </w:r>
          </w:p>
        </w:tc>
      </w:tr>
      <w:tr w:rsidR="00A031A6" w14:paraId="7B3BEBE1" w14:textId="77777777" w:rsidTr="00A031A6">
        <w:trPr>
          <w:trHeight w:val="283"/>
        </w:trPr>
        <w:tc>
          <w:tcPr>
            <w:tcW w:w="1136" w:type="dxa"/>
            <w:vAlign w:val="center"/>
          </w:tcPr>
          <w:p w14:paraId="001D1CA7"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Off-grid</w:t>
            </w:r>
          </w:p>
        </w:tc>
        <w:tc>
          <w:tcPr>
            <w:tcW w:w="782" w:type="dxa"/>
            <w:vAlign w:val="center"/>
          </w:tcPr>
          <w:p w14:paraId="77E0E5B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-58</w:t>
            </w:r>
          </w:p>
        </w:tc>
        <w:tc>
          <w:tcPr>
            <w:tcW w:w="883" w:type="dxa"/>
            <w:vAlign w:val="center"/>
          </w:tcPr>
          <w:p w14:paraId="09D8ABE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84723F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-265</w:t>
            </w:r>
          </w:p>
        </w:tc>
        <w:tc>
          <w:tcPr>
            <w:tcW w:w="782" w:type="dxa"/>
            <w:vAlign w:val="center"/>
          </w:tcPr>
          <w:p w14:paraId="3C3BA84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-5</w:t>
            </w:r>
          </w:p>
        </w:tc>
        <w:tc>
          <w:tcPr>
            <w:tcW w:w="871" w:type="dxa"/>
            <w:vAlign w:val="center"/>
          </w:tcPr>
          <w:p w14:paraId="57B374B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-28,967</w:t>
            </w:r>
          </w:p>
        </w:tc>
        <w:tc>
          <w:tcPr>
            <w:tcW w:w="782" w:type="dxa"/>
            <w:vAlign w:val="center"/>
          </w:tcPr>
          <w:p w14:paraId="1A90C6C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w:t>
            </w:r>
          </w:p>
        </w:tc>
        <w:tc>
          <w:tcPr>
            <w:tcW w:w="782" w:type="dxa"/>
            <w:vAlign w:val="center"/>
          </w:tcPr>
          <w:p w14:paraId="3F2597C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03C99F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FEA749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086931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5C7122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7110792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200480F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7D38B2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398EE6D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A3B518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7,298</w:t>
            </w:r>
          </w:p>
        </w:tc>
        <w:tc>
          <w:tcPr>
            <w:tcW w:w="771" w:type="dxa"/>
            <w:vAlign w:val="center"/>
          </w:tcPr>
          <w:p w14:paraId="10B3661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4D601CC1"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-22,006</w:t>
            </w:r>
          </w:p>
        </w:tc>
      </w:tr>
      <w:tr w:rsidR="00A031A6" w14:paraId="5AF6AFF0" w14:textId="77777777" w:rsidTr="00A031A6">
        <w:trPr>
          <w:trHeight w:val="283"/>
        </w:trPr>
        <w:tc>
          <w:tcPr>
            <w:tcW w:w="1136" w:type="dxa"/>
            <w:vAlign w:val="center"/>
          </w:tcPr>
          <w:p w14:paraId="44D519CA"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IO</w:t>
            </w:r>
          </w:p>
        </w:tc>
        <w:tc>
          <w:tcPr>
            <w:tcW w:w="782" w:type="dxa"/>
            <w:vAlign w:val="center"/>
          </w:tcPr>
          <w:p w14:paraId="3E4B286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-8,889</w:t>
            </w:r>
          </w:p>
        </w:tc>
        <w:tc>
          <w:tcPr>
            <w:tcW w:w="883" w:type="dxa"/>
            <w:vAlign w:val="center"/>
          </w:tcPr>
          <w:p w14:paraId="645914C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88047E7" w14:textId="77777777" w:rsidR="00A031A6" w:rsidRDefault="00A031A6">
            <w:pPr>
              <w:spacing w:line="360" w:lineRule="auto"/>
              <w:jc w:val="center"/>
              <w:rPr>
                <w:rFonts w:ascii="Arial" w:eastAsia="Arial" w:hAnsi="Arial" w:cs="Arial"/>
                <w:sz w:val="8"/>
                <w:szCs w:val="8"/>
              </w:rPr>
            </w:pPr>
          </w:p>
        </w:tc>
        <w:tc>
          <w:tcPr>
            <w:tcW w:w="782" w:type="dxa"/>
            <w:vAlign w:val="center"/>
          </w:tcPr>
          <w:p w14:paraId="7C5348AC" w14:textId="77777777" w:rsidR="00A031A6" w:rsidRDefault="00A031A6">
            <w:pPr>
              <w:spacing w:line="360" w:lineRule="auto"/>
              <w:jc w:val="center"/>
              <w:rPr>
                <w:rFonts w:ascii="Arial" w:eastAsia="Arial" w:hAnsi="Arial" w:cs="Arial"/>
                <w:sz w:val="8"/>
                <w:szCs w:val="8"/>
              </w:rPr>
            </w:pPr>
          </w:p>
        </w:tc>
        <w:tc>
          <w:tcPr>
            <w:tcW w:w="871" w:type="dxa"/>
            <w:vAlign w:val="center"/>
          </w:tcPr>
          <w:p w14:paraId="2217F3EF" w14:textId="77777777" w:rsidR="00A031A6" w:rsidRDefault="00A031A6">
            <w:pPr>
              <w:spacing w:line="360" w:lineRule="auto"/>
              <w:jc w:val="center"/>
              <w:rPr>
                <w:rFonts w:ascii="Arial" w:eastAsia="Arial" w:hAnsi="Arial" w:cs="Arial"/>
                <w:sz w:val="8"/>
                <w:szCs w:val="8"/>
              </w:rPr>
            </w:pPr>
          </w:p>
        </w:tc>
        <w:tc>
          <w:tcPr>
            <w:tcW w:w="782" w:type="dxa"/>
            <w:vAlign w:val="center"/>
          </w:tcPr>
          <w:p w14:paraId="0BF5DEA3" w14:textId="77777777" w:rsidR="00A031A6" w:rsidRDefault="00A031A6">
            <w:pPr>
              <w:spacing w:line="360" w:lineRule="auto"/>
              <w:jc w:val="center"/>
              <w:rPr>
                <w:rFonts w:ascii="Arial" w:eastAsia="Arial" w:hAnsi="Arial" w:cs="Arial"/>
                <w:sz w:val="8"/>
                <w:szCs w:val="8"/>
              </w:rPr>
            </w:pPr>
          </w:p>
        </w:tc>
        <w:tc>
          <w:tcPr>
            <w:tcW w:w="782" w:type="dxa"/>
            <w:vAlign w:val="center"/>
          </w:tcPr>
          <w:p w14:paraId="726AB947" w14:textId="77777777" w:rsidR="00A031A6" w:rsidRDefault="00A031A6">
            <w:pPr>
              <w:spacing w:line="360" w:lineRule="auto"/>
              <w:jc w:val="center"/>
              <w:rPr>
                <w:rFonts w:ascii="Arial" w:eastAsia="Arial" w:hAnsi="Arial" w:cs="Arial"/>
                <w:sz w:val="8"/>
                <w:szCs w:val="8"/>
              </w:rPr>
            </w:pPr>
          </w:p>
        </w:tc>
        <w:tc>
          <w:tcPr>
            <w:tcW w:w="782" w:type="dxa"/>
            <w:vAlign w:val="center"/>
          </w:tcPr>
          <w:p w14:paraId="0352BD20" w14:textId="77777777" w:rsidR="00A031A6" w:rsidRDefault="00A031A6">
            <w:pPr>
              <w:spacing w:line="360" w:lineRule="auto"/>
              <w:jc w:val="center"/>
              <w:rPr>
                <w:rFonts w:ascii="Arial" w:eastAsia="Arial" w:hAnsi="Arial" w:cs="Arial"/>
                <w:sz w:val="8"/>
                <w:szCs w:val="8"/>
              </w:rPr>
            </w:pPr>
          </w:p>
        </w:tc>
        <w:tc>
          <w:tcPr>
            <w:tcW w:w="782" w:type="dxa"/>
            <w:vAlign w:val="center"/>
          </w:tcPr>
          <w:p w14:paraId="182E307F" w14:textId="77777777" w:rsidR="00A031A6" w:rsidRDefault="00A031A6">
            <w:pPr>
              <w:spacing w:line="360" w:lineRule="auto"/>
              <w:jc w:val="center"/>
              <w:rPr>
                <w:rFonts w:ascii="Arial" w:eastAsia="Arial" w:hAnsi="Arial" w:cs="Arial"/>
                <w:sz w:val="8"/>
                <w:szCs w:val="8"/>
              </w:rPr>
            </w:pPr>
          </w:p>
        </w:tc>
        <w:tc>
          <w:tcPr>
            <w:tcW w:w="782" w:type="dxa"/>
            <w:vAlign w:val="center"/>
          </w:tcPr>
          <w:p w14:paraId="3F0730A3" w14:textId="77777777" w:rsidR="00A031A6" w:rsidRDefault="00A031A6">
            <w:pPr>
              <w:spacing w:line="360" w:lineRule="auto"/>
              <w:jc w:val="center"/>
              <w:rPr>
                <w:rFonts w:ascii="Arial" w:eastAsia="Arial" w:hAnsi="Arial" w:cs="Arial"/>
                <w:sz w:val="8"/>
                <w:szCs w:val="8"/>
              </w:rPr>
            </w:pPr>
          </w:p>
        </w:tc>
        <w:tc>
          <w:tcPr>
            <w:tcW w:w="782" w:type="dxa"/>
            <w:vAlign w:val="center"/>
          </w:tcPr>
          <w:p w14:paraId="11E1A60C" w14:textId="77777777" w:rsidR="00A031A6" w:rsidRDefault="00A031A6">
            <w:pPr>
              <w:spacing w:line="360" w:lineRule="auto"/>
              <w:jc w:val="center"/>
              <w:rPr>
                <w:rFonts w:ascii="Arial" w:eastAsia="Arial" w:hAnsi="Arial" w:cs="Arial"/>
                <w:sz w:val="8"/>
                <w:szCs w:val="8"/>
              </w:rPr>
            </w:pPr>
          </w:p>
        </w:tc>
        <w:tc>
          <w:tcPr>
            <w:tcW w:w="803" w:type="dxa"/>
            <w:vAlign w:val="center"/>
          </w:tcPr>
          <w:p w14:paraId="18ABE31E" w14:textId="77777777" w:rsidR="00A031A6" w:rsidRDefault="00A031A6">
            <w:pPr>
              <w:spacing w:line="360" w:lineRule="auto"/>
              <w:jc w:val="center"/>
              <w:rPr>
                <w:rFonts w:ascii="Arial" w:eastAsia="Arial" w:hAnsi="Arial" w:cs="Arial"/>
                <w:sz w:val="8"/>
                <w:szCs w:val="8"/>
              </w:rPr>
            </w:pPr>
          </w:p>
        </w:tc>
        <w:tc>
          <w:tcPr>
            <w:tcW w:w="781" w:type="dxa"/>
            <w:vAlign w:val="center"/>
          </w:tcPr>
          <w:p w14:paraId="1534B7B0" w14:textId="77777777" w:rsidR="00A031A6" w:rsidRDefault="00A031A6">
            <w:pPr>
              <w:spacing w:line="360" w:lineRule="auto"/>
              <w:jc w:val="center"/>
              <w:rPr>
                <w:rFonts w:ascii="Arial" w:eastAsia="Arial" w:hAnsi="Arial" w:cs="Arial"/>
                <w:sz w:val="8"/>
                <w:szCs w:val="8"/>
              </w:rPr>
            </w:pPr>
          </w:p>
        </w:tc>
        <w:tc>
          <w:tcPr>
            <w:tcW w:w="781" w:type="dxa"/>
            <w:vAlign w:val="center"/>
          </w:tcPr>
          <w:p w14:paraId="2277A0D9" w14:textId="77777777" w:rsidR="00A031A6" w:rsidRDefault="00A031A6">
            <w:pPr>
              <w:spacing w:line="360" w:lineRule="auto"/>
              <w:jc w:val="center"/>
              <w:rPr>
                <w:rFonts w:ascii="Arial" w:eastAsia="Arial" w:hAnsi="Arial" w:cs="Arial"/>
                <w:sz w:val="8"/>
                <w:szCs w:val="8"/>
              </w:rPr>
            </w:pPr>
          </w:p>
        </w:tc>
        <w:tc>
          <w:tcPr>
            <w:tcW w:w="781" w:type="dxa"/>
            <w:vAlign w:val="center"/>
          </w:tcPr>
          <w:p w14:paraId="62626A5D" w14:textId="77777777" w:rsidR="00A031A6" w:rsidRDefault="00A031A6">
            <w:pPr>
              <w:spacing w:line="360" w:lineRule="auto"/>
              <w:jc w:val="center"/>
              <w:rPr>
                <w:rFonts w:ascii="Arial" w:eastAsia="Arial" w:hAnsi="Arial" w:cs="Arial"/>
                <w:sz w:val="8"/>
                <w:szCs w:val="8"/>
              </w:rPr>
            </w:pPr>
          </w:p>
        </w:tc>
        <w:tc>
          <w:tcPr>
            <w:tcW w:w="790" w:type="dxa"/>
            <w:vAlign w:val="center"/>
          </w:tcPr>
          <w:p w14:paraId="7497613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2,933</w:t>
            </w:r>
          </w:p>
        </w:tc>
        <w:tc>
          <w:tcPr>
            <w:tcW w:w="771" w:type="dxa"/>
            <w:vAlign w:val="center"/>
          </w:tcPr>
          <w:p w14:paraId="6E78E58C" w14:textId="77777777" w:rsidR="00A031A6" w:rsidRDefault="00A031A6">
            <w:pPr>
              <w:spacing w:line="360" w:lineRule="auto"/>
              <w:jc w:val="center"/>
              <w:rPr>
                <w:rFonts w:ascii="Arial" w:eastAsia="Arial" w:hAnsi="Arial" w:cs="Arial"/>
                <w:sz w:val="8"/>
                <w:szCs w:val="8"/>
              </w:rPr>
            </w:pPr>
          </w:p>
        </w:tc>
        <w:tc>
          <w:tcPr>
            <w:tcW w:w="790" w:type="dxa"/>
            <w:vAlign w:val="center"/>
          </w:tcPr>
          <w:p w14:paraId="2F0B2E29"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-5,956</w:t>
            </w:r>
          </w:p>
        </w:tc>
      </w:tr>
      <w:tr w:rsidR="00500FE4" w14:paraId="103E7E61" w14:textId="77777777" w:rsidTr="00A031A6">
        <w:trPr>
          <w:trHeight w:val="283"/>
        </w:trPr>
        <w:tc>
          <w:tcPr>
            <w:tcW w:w="1136" w:type="dxa"/>
            <w:shd w:val="clear" w:color="auto" w:fill="E7E6E6"/>
            <w:vAlign w:val="center"/>
          </w:tcPr>
          <w:p w14:paraId="44C86A3F"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Own use and losses</w:t>
            </w:r>
          </w:p>
        </w:tc>
        <w:tc>
          <w:tcPr>
            <w:tcW w:w="782" w:type="dxa"/>
            <w:shd w:val="clear" w:color="auto" w:fill="E7E6E6"/>
            <w:vAlign w:val="center"/>
          </w:tcPr>
          <w:p w14:paraId="57A0C77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shd w:val="clear" w:color="auto" w:fill="E7E6E6"/>
            <w:vAlign w:val="center"/>
          </w:tcPr>
          <w:p w14:paraId="4E11964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13BFA89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3AB29D0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shd w:val="clear" w:color="auto" w:fill="E7E6E6"/>
            <w:vAlign w:val="center"/>
          </w:tcPr>
          <w:p w14:paraId="713F64B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2807C9C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4DD39B9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4A05160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402B9F8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6494D23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-43,737</w:t>
            </w:r>
          </w:p>
        </w:tc>
        <w:tc>
          <w:tcPr>
            <w:tcW w:w="782" w:type="dxa"/>
            <w:shd w:val="clear" w:color="auto" w:fill="E7E6E6"/>
            <w:vAlign w:val="center"/>
          </w:tcPr>
          <w:p w14:paraId="3C517AB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-6,686</w:t>
            </w:r>
          </w:p>
        </w:tc>
        <w:tc>
          <w:tcPr>
            <w:tcW w:w="803" w:type="dxa"/>
            <w:shd w:val="clear" w:color="auto" w:fill="E7E6E6"/>
            <w:vAlign w:val="center"/>
          </w:tcPr>
          <w:p w14:paraId="1CDCDC0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-834</w:t>
            </w:r>
          </w:p>
        </w:tc>
        <w:tc>
          <w:tcPr>
            <w:tcW w:w="781" w:type="dxa"/>
            <w:shd w:val="clear" w:color="auto" w:fill="E7E6E6"/>
            <w:vAlign w:val="center"/>
          </w:tcPr>
          <w:p w14:paraId="5FF1B87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14:paraId="573E380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14:paraId="08F7F7A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shd w:val="clear" w:color="auto" w:fill="E7E6E6"/>
            <w:vAlign w:val="center"/>
          </w:tcPr>
          <w:p w14:paraId="2BE4815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-19,800</w:t>
            </w:r>
          </w:p>
        </w:tc>
        <w:tc>
          <w:tcPr>
            <w:tcW w:w="771" w:type="dxa"/>
            <w:shd w:val="clear" w:color="auto" w:fill="E7E6E6"/>
            <w:vAlign w:val="center"/>
          </w:tcPr>
          <w:p w14:paraId="7843690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-28,549</w:t>
            </w:r>
          </w:p>
        </w:tc>
        <w:tc>
          <w:tcPr>
            <w:tcW w:w="790" w:type="dxa"/>
            <w:shd w:val="clear" w:color="auto" w:fill="E7E6E6"/>
            <w:vAlign w:val="center"/>
          </w:tcPr>
          <w:p w14:paraId="4D21441A"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-99,606</w:t>
            </w:r>
          </w:p>
        </w:tc>
      </w:tr>
      <w:tr w:rsidR="00A031A6" w14:paraId="3A20D85F" w14:textId="77777777" w:rsidTr="00A031A6">
        <w:trPr>
          <w:trHeight w:val="283"/>
        </w:trPr>
        <w:tc>
          <w:tcPr>
            <w:tcW w:w="1136" w:type="dxa"/>
            <w:vAlign w:val="center"/>
          </w:tcPr>
          <w:p w14:paraId="4882F60D"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a. During transformation</w:t>
            </w:r>
          </w:p>
        </w:tc>
        <w:tc>
          <w:tcPr>
            <w:tcW w:w="782" w:type="dxa"/>
            <w:vAlign w:val="center"/>
          </w:tcPr>
          <w:p w14:paraId="63262E0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4ABFE20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E4F4EE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392F9B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3883B13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F33220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7ACB76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8052DA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9B653B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2B55AD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-3,801</w:t>
            </w:r>
          </w:p>
        </w:tc>
        <w:tc>
          <w:tcPr>
            <w:tcW w:w="782" w:type="dxa"/>
            <w:vAlign w:val="center"/>
          </w:tcPr>
          <w:p w14:paraId="026B6E3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6E6EC6C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2ACBEE7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C88367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09DD73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0255E8C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-6,346</w:t>
            </w:r>
          </w:p>
        </w:tc>
        <w:tc>
          <w:tcPr>
            <w:tcW w:w="771" w:type="dxa"/>
            <w:vAlign w:val="center"/>
          </w:tcPr>
          <w:p w14:paraId="34D073B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BF4D1C9"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-10,147</w:t>
            </w:r>
          </w:p>
        </w:tc>
      </w:tr>
      <w:tr w:rsidR="00A031A6" w14:paraId="0C6A8C47" w14:textId="77777777" w:rsidTr="00A031A6">
        <w:trPr>
          <w:trHeight w:val="283"/>
        </w:trPr>
        <w:tc>
          <w:tcPr>
            <w:tcW w:w="1136" w:type="dxa"/>
            <w:vAlign w:val="center"/>
          </w:tcPr>
          <w:p w14:paraId="191991E0"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b. Energy use/own use</w:t>
            </w:r>
          </w:p>
        </w:tc>
        <w:tc>
          <w:tcPr>
            <w:tcW w:w="782" w:type="dxa"/>
            <w:vAlign w:val="center"/>
          </w:tcPr>
          <w:p w14:paraId="04FDFE4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1F11346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2140CE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63F468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44811F1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892160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76433F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A2A0BE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A187FB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8E7F8D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-39,937</w:t>
            </w:r>
          </w:p>
        </w:tc>
        <w:tc>
          <w:tcPr>
            <w:tcW w:w="782" w:type="dxa"/>
            <w:vAlign w:val="center"/>
          </w:tcPr>
          <w:p w14:paraId="4642A29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0563EA6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52319D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0EA383C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3203635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4707496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7D98398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53E4D274"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-39,937</w:t>
            </w:r>
          </w:p>
        </w:tc>
      </w:tr>
      <w:tr w:rsidR="00A031A6" w14:paraId="47950957" w14:textId="77777777" w:rsidTr="00A031A6">
        <w:trPr>
          <w:trHeight w:val="283"/>
        </w:trPr>
        <w:tc>
          <w:tcPr>
            <w:tcW w:w="1136" w:type="dxa"/>
            <w:vAlign w:val="center"/>
          </w:tcPr>
          <w:p w14:paraId="6E9434FD"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c. Transmission and distribution</w:t>
            </w:r>
          </w:p>
        </w:tc>
        <w:tc>
          <w:tcPr>
            <w:tcW w:w="782" w:type="dxa"/>
            <w:vAlign w:val="center"/>
          </w:tcPr>
          <w:p w14:paraId="46C1CCC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13D9429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0DD387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1CCB06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74986AE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64B34E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E39794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DEE803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1B8CB1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955064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DDEBD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451758B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-834</w:t>
            </w:r>
          </w:p>
        </w:tc>
        <w:tc>
          <w:tcPr>
            <w:tcW w:w="781" w:type="dxa"/>
            <w:vAlign w:val="center"/>
          </w:tcPr>
          <w:p w14:paraId="2BB45B0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115B60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8F4D5C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63BA05B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-13,454</w:t>
            </w:r>
          </w:p>
        </w:tc>
        <w:tc>
          <w:tcPr>
            <w:tcW w:w="771" w:type="dxa"/>
            <w:vAlign w:val="center"/>
          </w:tcPr>
          <w:p w14:paraId="727A0FD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-28,549</w:t>
            </w:r>
          </w:p>
        </w:tc>
        <w:tc>
          <w:tcPr>
            <w:tcW w:w="790" w:type="dxa"/>
            <w:vAlign w:val="center"/>
          </w:tcPr>
          <w:p w14:paraId="4FBE0365"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-42,837</w:t>
            </w:r>
          </w:p>
        </w:tc>
      </w:tr>
      <w:tr w:rsidR="00A031A6" w14:paraId="0EEFD632" w14:textId="77777777" w:rsidTr="00A031A6">
        <w:trPr>
          <w:trHeight w:val="283"/>
        </w:trPr>
        <w:tc>
          <w:tcPr>
            <w:tcW w:w="1136" w:type="dxa"/>
            <w:vAlign w:val="center"/>
          </w:tcPr>
          <w:p w14:paraId="3B942BAB"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Final energy supply</w:t>
            </w:r>
          </w:p>
        </w:tc>
        <w:tc>
          <w:tcPr>
            <w:tcW w:w="782" w:type="dxa"/>
            <w:vAlign w:val="center"/>
          </w:tcPr>
          <w:p w14:paraId="3E5C098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6BE641A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B728E8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4D35EB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6BE53B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4272BD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DCA527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vAlign w:val="center"/>
          </w:tcPr>
          <w:p w14:paraId="55CB6EC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100,506</w:t>
            </w:r>
          </w:p>
        </w:tc>
        <w:tc>
          <w:tcPr>
            <w:tcW w:w="782" w:type="dxa"/>
            <w:vAlign w:val="center"/>
          </w:tcPr>
          <w:p w14:paraId="7864F14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vAlign w:val="center"/>
          </w:tcPr>
          <w:p w14:paraId="5389F53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89,657</w:t>
            </w:r>
          </w:p>
        </w:tc>
        <w:tc>
          <w:tcPr>
            <w:tcW w:w="782" w:type="dxa"/>
            <w:vAlign w:val="center"/>
          </w:tcPr>
          <w:p w14:paraId="6E91C5C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695C577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450,778</w:t>
            </w:r>
          </w:p>
        </w:tc>
        <w:tc>
          <w:tcPr>
            <w:tcW w:w="781" w:type="dxa"/>
            <w:vAlign w:val="center"/>
          </w:tcPr>
          <w:p w14:paraId="1694BF8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4,054</w:t>
            </w:r>
          </w:p>
        </w:tc>
        <w:tc>
          <w:tcPr>
            <w:tcW w:w="781" w:type="dxa"/>
            <w:vAlign w:val="center"/>
          </w:tcPr>
          <w:p w14:paraId="63859B6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vAlign w:val="center"/>
          </w:tcPr>
          <w:p w14:paraId="17A8939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64,465</w:t>
            </w:r>
          </w:p>
        </w:tc>
        <w:tc>
          <w:tcPr>
            <w:tcW w:w="790" w:type="dxa"/>
            <w:vAlign w:val="center"/>
          </w:tcPr>
          <w:p w14:paraId="3931FBE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154,179</w:t>
            </w:r>
          </w:p>
        </w:tc>
        <w:tc>
          <w:tcPr>
            <w:tcW w:w="771" w:type="dxa"/>
            <w:vAlign w:val="center"/>
          </w:tcPr>
          <w:p w14:paraId="4D9927F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079F8CF9"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931,593</w:t>
            </w:r>
          </w:p>
        </w:tc>
      </w:tr>
      <w:tr w:rsidR="00A031A6" w14:paraId="4A5AE230" w14:textId="77777777" w:rsidTr="00A031A6">
        <w:trPr>
          <w:trHeight w:val="283"/>
        </w:trPr>
        <w:tc>
          <w:tcPr>
            <w:tcW w:w="1136" w:type="dxa"/>
            <w:vAlign w:val="center"/>
          </w:tcPr>
          <w:p w14:paraId="21F8F650"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Statistics discrepancy</w:t>
            </w:r>
          </w:p>
        </w:tc>
        <w:tc>
          <w:tcPr>
            <w:tcW w:w="782" w:type="dxa"/>
            <w:vAlign w:val="center"/>
          </w:tcPr>
          <w:p w14:paraId="670E0CB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210B98E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4F5EBD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965CF6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51D3828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A427D1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3C56FE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862287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8B71E4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4110A0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-5,989</w:t>
            </w:r>
          </w:p>
        </w:tc>
        <w:tc>
          <w:tcPr>
            <w:tcW w:w="782" w:type="dxa"/>
            <w:vAlign w:val="center"/>
          </w:tcPr>
          <w:p w14:paraId="5CBA2A3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6CF1ABD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0E5A0B4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4,054</w:t>
            </w:r>
          </w:p>
        </w:tc>
        <w:tc>
          <w:tcPr>
            <w:tcW w:w="781" w:type="dxa"/>
            <w:vAlign w:val="center"/>
          </w:tcPr>
          <w:p w14:paraId="2F6EA6A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2FB95E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48B1AA5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-2,805</w:t>
            </w:r>
          </w:p>
        </w:tc>
        <w:tc>
          <w:tcPr>
            <w:tcW w:w="771" w:type="dxa"/>
            <w:vAlign w:val="center"/>
          </w:tcPr>
          <w:p w14:paraId="62E077A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585B871A"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-4,740</w:t>
            </w:r>
          </w:p>
        </w:tc>
      </w:tr>
      <w:tr w:rsidR="00500FE4" w14:paraId="2C0FAD0D" w14:textId="77777777" w:rsidTr="00A031A6">
        <w:trPr>
          <w:trHeight w:val="283"/>
        </w:trPr>
        <w:tc>
          <w:tcPr>
            <w:tcW w:w="1136" w:type="dxa"/>
            <w:shd w:val="clear" w:color="auto" w:fill="E7E6E6"/>
            <w:vAlign w:val="center"/>
          </w:tcPr>
          <w:p w14:paraId="1BA41AF0"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Final energy consumption</w:t>
            </w:r>
          </w:p>
        </w:tc>
        <w:tc>
          <w:tcPr>
            <w:tcW w:w="782" w:type="dxa"/>
            <w:shd w:val="clear" w:color="auto" w:fill="E7E6E6"/>
            <w:vAlign w:val="center"/>
          </w:tcPr>
          <w:p w14:paraId="01AA385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shd w:val="clear" w:color="auto" w:fill="E7E6E6"/>
            <w:vAlign w:val="center"/>
          </w:tcPr>
          <w:p w14:paraId="7A3F27B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63E3320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1E02414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shd w:val="clear" w:color="auto" w:fill="E7E6E6"/>
            <w:vAlign w:val="center"/>
          </w:tcPr>
          <w:p w14:paraId="578F36B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2C337A0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shd w:val="clear" w:color="auto" w:fill="E7E6E6"/>
            <w:vAlign w:val="center"/>
          </w:tcPr>
          <w:p w14:paraId="4DDD2D1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67,751</w:t>
            </w:r>
          </w:p>
        </w:tc>
        <w:tc>
          <w:tcPr>
            <w:tcW w:w="782" w:type="dxa"/>
            <w:shd w:val="clear" w:color="auto" w:fill="E7E6E6"/>
            <w:vAlign w:val="center"/>
          </w:tcPr>
          <w:p w14:paraId="3916CCC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100,506</w:t>
            </w:r>
          </w:p>
        </w:tc>
        <w:tc>
          <w:tcPr>
            <w:tcW w:w="782" w:type="dxa"/>
            <w:shd w:val="clear" w:color="auto" w:fill="E7E6E6"/>
            <w:vAlign w:val="center"/>
          </w:tcPr>
          <w:p w14:paraId="3ABBB65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shd w:val="clear" w:color="auto" w:fill="E7E6E6"/>
            <w:vAlign w:val="center"/>
          </w:tcPr>
          <w:p w14:paraId="4E4E96E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95,646</w:t>
            </w:r>
          </w:p>
        </w:tc>
        <w:tc>
          <w:tcPr>
            <w:tcW w:w="782" w:type="dxa"/>
            <w:shd w:val="clear" w:color="auto" w:fill="E7E6E6"/>
            <w:vAlign w:val="center"/>
          </w:tcPr>
          <w:p w14:paraId="37FFBBF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shd w:val="clear" w:color="auto" w:fill="E7E6E6"/>
            <w:vAlign w:val="center"/>
          </w:tcPr>
          <w:p w14:paraId="68DBA8D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450,778</w:t>
            </w:r>
          </w:p>
        </w:tc>
        <w:tc>
          <w:tcPr>
            <w:tcW w:w="781" w:type="dxa"/>
            <w:shd w:val="clear" w:color="auto" w:fill="E7E6E6"/>
            <w:vAlign w:val="center"/>
          </w:tcPr>
          <w:p w14:paraId="4DE9D27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14:paraId="1E3D0C0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shd w:val="clear" w:color="auto" w:fill="E7E6E6"/>
            <w:vAlign w:val="center"/>
          </w:tcPr>
          <w:p w14:paraId="27045E9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64,465</w:t>
            </w:r>
          </w:p>
        </w:tc>
        <w:tc>
          <w:tcPr>
            <w:tcW w:w="790" w:type="dxa"/>
            <w:shd w:val="clear" w:color="auto" w:fill="E7E6E6"/>
            <w:vAlign w:val="center"/>
          </w:tcPr>
          <w:p w14:paraId="6DAD70B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156,984</w:t>
            </w:r>
          </w:p>
        </w:tc>
        <w:tc>
          <w:tcPr>
            <w:tcW w:w="771" w:type="dxa"/>
            <w:shd w:val="clear" w:color="auto" w:fill="E7E6E6"/>
            <w:vAlign w:val="center"/>
          </w:tcPr>
          <w:p w14:paraId="31CAF11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shd w:val="clear" w:color="auto" w:fill="E7E6E6"/>
            <w:vAlign w:val="center"/>
          </w:tcPr>
          <w:p w14:paraId="519068C2"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936,166</w:t>
            </w:r>
          </w:p>
        </w:tc>
      </w:tr>
      <w:tr w:rsidR="00A031A6" w14:paraId="01A24479" w14:textId="77777777" w:rsidTr="00A031A6">
        <w:trPr>
          <w:trHeight w:val="283"/>
        </w:trPr>
        <w:tc>
          <w:tcPr>
            <w:tcW w:w="1136" w:type="dxa"/>
            <w:vAlign w:val="center"/>
          </w:tcPr>
          <w:p w14:paraId="706E85A4"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a. Industry</w:t>
            </w:r>
          </w:p>
        </w:tc>
        <w:tc>
          <w:tcPr>
            <w:tcW w:w="782" w:type="dxa"/>
            <w:vAlign w:val="center"/>
          </w:tcPr>
          <w:p w14:paraId="5B09CE1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2233A58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261810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1A0061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5315A52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06E718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80570F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43,405</w:t>
            </w:r>
          </w:p>
        </w:tc>
        <w:tc>
          <w:tcPr>
            <w:tcW w:w="782" w:type="dxa"/>
            <w:vAlign w:val="center"/>
          </w:tcPr>
          <w:p w14:paraId="73CBFE1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100,506</w:t>
            </w:r>
          </w:p>
        </w:tc>
        <w:tc>
          <w:tcPr>
            <w:tcW w:w="782" w:type="dxa"/>
            <w:vAlign w:val="center"/>
          </w:tcPr>
          <w:p w14:paraId="73E074F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36</w:t>
            </w:r>
          </w:p>
        </w:tc>
        <w:tc>
          <w:tcPr>
            <w:tcW w:w="782" w:type="dxa"/>
            <w:vAlign w:val="center"/>
          </w:tcPr>
          <w:p w14:paraId="04F4027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95,177</w:t>
            </w:r>
          </w:p>
        </w:tc>
        <w:tc>
          <w:tcPr>
            <w:tcW w:w="782" w:type="dxa"/>
            <w:vAlign w:val="center"/>
          </w:tcPr>
          <w:p w14:paraId="200F8E3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0FD0691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37,073</w:t>
            </w:r>
          </w:p>
        </w:tc>
        <w:tc>
          <w:tcPr>
            <w:tcW w:w="781" w:type="dxa"/>
            <w:vAlign w:val="center"/>
          </w:tcPr>
          <w:p w14:paraId="495B7FC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5641BD8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33109B6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934</w:t>
            </w:r>
          </w:p>
        </w:tc>
        <w:tc>
          <w:tcPr>
            <w:tcW w:w="790" w:type="dxa"/>
            <w:vAlign w:val="center"/>
          </w:tcPr>
          <w:p w14:paraId="1F27144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57,337</w:t>
            </w:r>
          </w:p>
        </w:tc>
        <w:tc>
          <w:tcPr>
            <w:tcW w:w="771" w:type="dxa"/>
            <w:vAlign w:val="center"/>
          </w:tcPr>
          <w:p w14:paraId="3941379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15FF63BF"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334,468</w:t>
            </w:r>
          </w:p>
        </w:tc>
      </w:tr>
      <w:tr w:rsidR="00A031A6" w14:paraId="755A1CED" w14:textId="77777777" w:rsidTr="00A031A6">
        <w:trPr>
          <w:trHeight w:val="283"/>
        </w:trPr>
        <w:tc>
          <w:tcPr>
            <w:tcW w:w="1136" w:type="dxa"/>
            <w:vAlign w:val="center"/>
          </w:tcPr>
          <w:p w14:paraId="49297E45"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b. Transportation</w:t>
            </w:r>
          </w:p>
        </w:tc>
        <w:tc>
          <w:tcPr>
            <w:tcW w:w="782" w:type="dxa"/>
            <w:vAlign w:val="center"/>
          </w:tcPr>
          <w:p w14:paraId="57DDEC4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77BDD1C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825C0C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B611A9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0746B2B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E4384A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F45CB6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398C6C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70E4EA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AED3E4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234</w:t>
            </w:r>
          </w:p>
        </w:tc>
        <w:tc>
          <w:tcPr>
            <w:tcW w:w="782" w:type="dxa"/>
            <w:vAlign w:val="center"/>
          </w:tcPr>
          <w:p w14:paraId="4A7A23A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4AB7521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390,996</w:t>
            </w:r>
          </w:p>
        </w:tc>
        <w:tc>
          <w:tcPr>
            <w:tcW w:w="781" w:type="dxa"/>
            <w:vAlign w:val="center"/>
          </w:tcPr>
          <w:p w14:paraId="75D4A5E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9EC6FB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E85DA1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700CFA9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168</w:t>
            </w:r>
          </w:p>
        </w:tc>
        <w:tc>
          <w:tcPr>
            <w:tcW w:w="771" w:type="dxa"/>
            <w:vAlign w:val="center"/>
          </w:tcPr>
          <w:p w14:paraId="3CF5BF3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AB60E94"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391,398</w:t>
            </w:r>
          </w:p>
        </w:tc>
      </w:tr>
      <w:tr w:rsidR="00A031A6" w14:paraId="5ED6DE85" w14:textId="77777777" w:rsidTr="00A031A6">
        <w:trPr>
          <w:trHeight w:val="283"/>
        </w:trPr>
        <w:tc>
          <w:tcPr>
            <w:tcW w:w="1136" w:type="dxa"/>
            <w:vAlign w:val="center"/>
          </w:tcPr>
          <w:p w14:paraId="1D14B626"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c. Household</w:t>
            </w:r>
          </w:p>
        </w:tc>
        <w:tc>
          <w:tcPr>
            <w:tcW w:w="782" w:type="dxa"/>
            <w:vAlign w:val="center"/>
          </w:tcPr>
          <w:p w14:paraId="3E9C81A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1525F5A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C4EAEC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195278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721AF28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ED65E7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0F2AAC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23,020</w:t>
            </w:r>
          </w:p>
        </w:tc>
        <w:tc>
          <w:tcPr>
            <w:tcW w:w="782" w:type="dxa"/>
            <w:vAlign w:val="center"/>
          </w:tcPr>
          <w:p w14:paraId="088FAE2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B18D7A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316C29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203</w:t>
            </w:r>
          </w:p>
        </w:tc>
        <w:tc>
          <w:tcPr>
            <w:tcW w:w="782" w:type="dxa"/>
            <w:vAlign w:val="center"/>
          </w:tcPr>
          <w:p w14:paraId="2B34044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0595077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3,043</w:t>
            </w:r>
          </w:p>
        </w:tc>
        <w:tc>
          <w:tcPr>
            <w:tcW w:w="781" w:type="dxa"/>
            <w:vAlign w:val="center"/>
          </w:tcPr>
          <w:p w14:paraId="414B1FE4"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A133D4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167</w:t>
            </w:r>
          </w:p>
        </w:tc>
        <w:tc>
          <w:tcPr>
            <w:tcW w:w="781" w:type="dxa"/>
            <w:vAlign w:val="center"/>
          </w:tcPr>
          <w:p w14:paraId="4F21AEC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61,819</w:t>
            </w:r>
          </w:p>
        </w:tc>
        <w:tc>
          <w:tcPr>
            <w:tcW w:w="790" w:type="dxa"/>
            <w:vAlign w:val="center"/>
          </w:tcPr>
          <w:p w14:paraId="5A3A926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62,963</w:t>
            </w:r>
          </w:p>
        </w:tc>
        <w:tc>
          <w:tcPr>
            <w:tcW w:w="771" w:type="dxa"/>
            <w:vAlign w:val="center"/>
          </w:tcPr>
          <w:p w14:paraId="140F8DA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33B917E8"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151,215</w:t>
            </w:r>
          </w:p>
        </w:tc>
      </w:tr>
      <w:tr w:rsidR="00A031A6" w14:paraId="1E3BCDE5" w14:textId="77777777" w:rsidTr="00A031A6">
        <w:trPr>
          <w:trHeight w:val="283"/>
        </w:trPr>
        <w:tc>
          <w:tcPr>
            <w:tcW w:w="1136" w:type="dxa"/>
            <w:vAlign w:val="center"/>
          </w:tcPr>
          <w:p w14:paraId="742379D7"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d. Commercial</w:t>
            </w:r>
          </w:p>
        </w:tc>
        <w:tc>
          <w:tcPr>
            <w:tcW w:w="782" w:type="dxa"/>
            <w:vAlign w:val="center"/>
          </w:tcPr>
          <w:p w14:paraId="1006320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58BA195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66C41C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22366B3"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1327B5E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57AF0D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876DE6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1,326</w:t>
            </w:r>
          </w:p>
        </w:tc>
        <w:tc>
          <w:tcPr>
            <w:tcW w:w="782" w:type="dxa"/>
            <w:vAlign w:val="center"/>
          </w:tcPr>
          <w:p w14:paraId="533EA4A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53E897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B2C269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32</w:t>
            </w:r>
          </w:p>
        </w:tc>
        <w:tc>
          <w:tcPr>
            <w:tcW w:w="782" w:type="dxa"/>
            <w:vAlign w:val="center"/>
          </w:tcPr>
          <w:p w14:paraId="17D16DF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5873460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3,566</w:t>
            </w:r>
          </w:p>
        </w:tc>
        <w:tc>
          <w:tcPr>
            <w:tcW w:w="781" w:type="dxa"/>
            <w:vAlign w:val="center"/>
          </w:tcPr>
          <w:p w14:paraId="59539E4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77EC6BD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3F2646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1,712</w:t>
            </w:r>
          </w:p>
        </w:tc>
        <w:tc>
          <w:tcPr>
            <w:tcW w:w="790" w:type="dxa"/>
            <w:vAlign w:val="center"/>
          </w:tcPr>
          <w:p w14:paraId="4502DE4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36,516</w:t>
            </w:r>
          </w:p>
        </w:tc>
        <w:tc>
          <w:tcPr>
            <w:tcW w:w="771" w:type="dxa"/>
            <w:vAlign w:val="center"/>
          </w:tcPr>
          <w:p w14:paraId="1A16CE6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77F8C8C9"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43,152</w:t>
            </w:r>
          </w:p>
        </w:tc>
      </w:tr>
      <w:tr w:rsidR="00A031A6" w14:paraId="1E8E902D" w14:textId="77777777" w:rsidTr="00A031A6">
        <w:trPr>
          <w:trHeight w:val="283"/>
        </w:trPr>
        <w:tc>
          <w:tcPr>
            <w:tcW w:w="1136" w:type="dxa"/>
            <w:vAlign w:val="center"/>
          </w:tcPr>
          <w:p w14:paraId="77567BDE"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e. Other sectors</w:t>
            </w:r>
          </w:p>
        </w:tc>
        <w:tc>
          <w:tcPr>
            <w:tcW w:w="782" w:type="dxa"/>
            <w:vAlign w:val="center"/>
          </w:tcPr>
          <w:p w14:paraId="4BDADDE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267F89E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5DA82D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AD9573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6EF43AF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A86E8F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4A4912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0861EA0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2F5AD18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4A23EAA0"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EECCEC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3DC542D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16,100</w:t>
            </w:r>
          </w:p>
        </w:tc>
        <w:tc>
          <w:tcPr>
            <w:tcW w:w="781" w:type="dxa"/>
            <w:vAlign w:val="center"/>
          </w:tcPr>
          <w:p w14:paraId="53A1314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9ED4DF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4FD49AE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2A4857A8"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34578E8A"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1E041B0D"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16,100</w:t>
            </w:r>
          </w:p>
        </w:tc>
      </w:tr>
      <w:tr w:rsidR="00A031A6" w14:paraId="37EDB021" w14:textId="77777777" w:rsidTr="00A031A6">
        <w:trPr>
          <w:trHeight w:val="283"/>
        </w:trPr>
        <w:tc>
          <w:tcPr>
            <w:tcW w:w="1136" w:type="dxa"/>
            <w:vAlign w:val="center"/>
          </w:tcPr>
          <w:p w14:paraId="5E3DC8A4" w14:textId="77777777" w:rsidR="00A031A6" w:rsidRDefault="00916FD0">
            <w:pPr>
              <w:spacing w:line="360" w:lineRule="auto"/>
              <w:jc w:val="left"/>
              <w:rPr>
                <w:rFonts w:ascii="Arial" w:eastAsia="Arial" w:hAnsi="Arial" w:cs="Arial"/>
                <w:sz w:val="8"/>
                <w:szCs w:val="8"/>
              </w:rPr>
            </w:pPr>
            <w:r>
              <w:rPr>
                <w:rFonts w:ascii="Arial" w:eastAsia="Arial" w:hAnsi="Arial" w:cs="Arial"/>
                <w:b/>
                <w:sz w:val="8"/>
                <w:szCs w:val="8"/>
              </w:rPr>
              <w:t>Non-energy use</w:t>
            </w:r>
          </w:p>
        </w:tc>
        <w:tc>
          <w:tcPr>
            <w:tcW w:w="782" w:type="dxa"/>
            <w:vAlign w:val="center"/>
          </w:tcPr>
          <w:p w14:paraId="0347218F"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83" w:type="dxa"/>
            <w:vAlign w:val="center"/>
          </w:tcPr>
          <w:p w14:paraId="5ADF269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DD85F2D"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30C8168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71" w:type="dxa"/>
            <w:vAlign w:val="center"/>
          </w:tcPr>
          <w:p w14:paraId="07159A2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62C6B057"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7B67D6F6"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59AEA80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C702C52"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2" w:type="dxa"/>
            <w:vAlign w:val="center"/>
          </w:tcPr>
          <w:p w14:paraId="1661063B"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25,568</w:t>
            </w:r>
          </w:p>
        </w:tc>
        <w:tc>
          <w:tcPr>
            <w:tcW w:w="782" w:type="dxa"/>
            <w:vAlign w:val="center"/>
          </w:tcPr>
          <w:p w14:paraId="2338C10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803" w:type="dxa"/>
            <w:vAlign w:val="center"/>
          </w:tcPr>
          <w:p w14:paraId="53510659"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66D6D01"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0EFBB60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81" w:type="dxa"/>
            <w:vAlign w:val="center"/>
          </w:tcPr>
          <w:p w14:paraId="6983DFC5"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032C7A9C"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71" w:type="dxa"/>
            <w:vAlign w:val="center"/>
          </w:tcPr>
          <w:p w14:paraId="5C6877AE" w14:textId="77777777" w:rsidR="00A031A6" w:rsidRDefault="00916FD0">
            <w:pPr>
              <w:spacing w:line="360" w:lineRule="auto"/>
              <w:jc w:val="center"/>
              <w:rPr>
                <w:rFonts w:ascii="Arial" w:eastAsia="Arial" w:hAnsi="Arial" w:cs="Arial"/>
                <w:sz w:val="8"/>
                <w:szCs w:val="8"/>
              </w:rPr>
            </w:pPr>
            <w:r>
              <w:rPr>
                <w:rFonts w:ascii="Arial" w:eastAsia="Arial" w:hAnsi="Arial" w:cs="Arial"/>
                <w:sz w:val="8"/>
                <w:szCs w:val="8"/>
              </w:rPr>
              <w:t>0</w:t>
            </w:r>
          </w:p>
        </w:tc>
        <w:tc>
          <w:tcPr>
            <w:tcW w:w="790" w:type="dxa"/>
            <w:vAlign w:val="center"/>
          </w:tcPr>
          <w:p w14:paraId="2EC43338" w14:textId="77777777" w:rsidR="00A031A6" w:rsidRDefault="00916FD0">
            <w:pPr>
              <w:spacing w:line="360" w:lineRule="auto"/>
              <w:jc w:val="center"/>
              <w:rPr>
                <w:rFonts w:ascii="Arial" w:eastAsia="Arial" w:hAnsi="Arial" w:cs="Arial"/>
                <w:b/>
                <w:sz w:val="8"/>
                <w:szCs w:val="8"/>
              </w:rPr>
            </w:pPr>
            <w:r>
              <w:rPr>
                <w:rFonts w:ascii="Arial" w:eastAsia="Arial" w:hAnsi="Arial" w:cs="Arial"/>
                <w:b/>
                <w:sz w:val="8"/>
                <w:szCs w:val="8"/>
              </w:rPr>
              <w:t>25,568</w:t>
            </w:r>
          </w:p>
        </w:tc>
      </w:tr>
    </w:tbl>
    <w:p w14:paraId="348AB216" w14:textId="77777777" w:rsidR="00A031A6" w:rsidRDefault="00A031A6"/>
    <w:p w14:paraId="47DED680" w14:textId="77777777" w:rsidR="00A031A6" w:rsidRDefault="00A031A6"/>
    <w:p w14:paraId="4AD7C48A" w14:textId="77777777" w:rsidR="00A031A6" w:rsidRDefault="00A031A6">
      <w:pPr>
        <w:pBdr>
          <w:top w:val="nil"/>
          <w:left w:val="nil"/>
          <w:bottom w:val="nil"/>
          <w:right w:val="nil"/>
          <w:between w:val="nil"/>
        </w:pBdr>
        <w:spacing w:after="200" w:line="240" w:lineRule="auto"/>
        <w:rPr>
          <w:rFonts w:ascii="Arial" w:eastAsia="Arial" w:hAnsi="Arial" w:cs="Arial"/>
          <w:b/>
          <w:color w:val="44546A"/>
          <w:sz w:val="20"/>
          <w:szCs w:val="20"/>
        </w:rPr>
      </w:pPr>
    </w:p>
    <w:p w14:paraId="529BCC61" w14:textId="77777777" w:rsidR="00A031A6" w:rsidRDefault="00916FD0">
      <w:pPr>
        <w:pBdr>
          <w:top w:val="nil"/>
          <w:left w:val="nil"/>
          <w:bottom w:val="nil"/>
          <w:right w:val="nil"/>
          <w:between w:val="nil"/>
        </w:pBdr>
        <w:spacing w:after="120" w:line="240" w:lineRule="auto"/>
        <w:jc w:val="center"/>
        <w:rPr>
          <w:rFonts w:ascii="Arial" w:eastAsia="Arial" w:hAnsi="Arial" w:cs="Arial"/>
          <w:b/>
          <w:color w:val="C00000"/>
        </w:rPr>
      </w:pPr>
      <w:bookmarkStart w:id="302" w:name="_3jd0qos" w:colFirst="0" w:colLast="0"/>
      <w:bookmarkEnd w:id="302"/>
      <w:r>
        <w:rPr>
          <w:rFonts w:ascii="Arial" w:eastAsia="Arial" w:hAnsi="Arial" w:cs="Arial"/>
          <w:b/>
          <w:color w:val="44546A"/>
          <w:sz w:val="20"/>
          <w:szCs w:val="20"/>
        </w:rPr>
        <w:t>Figure 25. Sankey diagram showing energy flow in 2030 under the SDG scenario</w:t>
      </w:r>
    </w:p>
    <w:p w14:paraId="3DFC94CF" w14:textId="77777777" w:rsidR="00A031A6" w:rsidRDefault="00916FD0">
      <w:pPr>
        <w:spacing w:line="360" w:lineRule="auto"/>
        <w:jc w:val="center"/>
        <w:rPr>
          <w:rFonts w:ascii="Arial" w:eastAsia="Arial" w:hAnsi="Arial" w:cs="Arial"/>
          <w:sz w:val="20"/>
          <w:szCs w:val="20"/>
        </w:rPr>
      </w:pPr>
      <w:r>
        <w:rPr>
          <w:noProof/>
        </w:rPr>
        <w:lastRenderedPageBreak/>
        <w:drawing>
          <wp:inline distT="0" distB="0" distL="0" distR="0" wp14:anchorId="594393FA" wp14:editId="1090BC15">
            <wp:extent cx="9069136" cy="5415401"/>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9069136" cy="5415401"/>
                    </a:xfrm>
                    <a:prstGeom prst="rect">
                      <a:avLst/>
                    </a:prstGeom>
                    <a:ln/>
                  </pic:spPr>
                </pic:pic>
              </a:graphicData>
            </a:graphic>
          </wp:inline>
        </w:drawing>
      </w:r>
    </w:p>
    <w:p w14:paraId="1DE58E6F" w14:textId="77777777" w:rsidR="00A031A6" w:rsidRDefault="00916FD0">
      <w:pPr>
        <w:pStyle w:val="Heading2"/>
        <w:numPr>
          <w:ilvl w:val="0"/>
          <w:numId w:val="13"/>
        </w:numPr>
      </w:pPr>
      <w:r>
        <w:rPr>
          <w:sz w:val="20"/>
          <w:szCs w:val="20"/>
        </w:rPr>
        <w:tab/>
      </w:r>
      <w:bookmarkStart w:id="303" w:name="_Toc62221596"/>
      <w:r>
        <w:t>Indonesia RUPTL 2019 – 2028 Planned Capacity Addition</w:t>
      </w:r>
      <w:bookmarkEnd w:id="303"/>
    </w:p>
    <w:tbl>
      <w:tblPr>
        <w:tblStyle w:val="afd"/>
        <w:tblW w:w="14863"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1779"/>
        <w:gridCol w:w="1189"/>
        <w:gridCol w:w="1189"/>
        <w:gridCol w:w="1189"/>
        <w:gridCol w:w="1189"/>
        <w:gridCol w:w="1189"/>
        <w:gridCol w:w="1189"/>
        <w:gridCol w:w="1189"/>
        <w:gridCol w:w="1189"/>
        <w:gridCol w:w="1189"/>
        <w:gridCol w:w="1189"/>
        <w:gridCol w:w="1194"/>
      </w:tblGrid>
      <w:tr w:rsidR="00A031A6" w14:paraId="395231CB" w14:textId="77777777">
        <w:trPr>
          <w:trHeight w:val="504"/>
          <w:jc w:val="center"/>
        </w:trPr>
        <w:tc>
          <w:tcPr>
            <w:tcW w:w="14863" w:type="dxa"/>
            <w:gridSpan w:val="12"/>
            <w:shd w:val="clear" w:color="auto" w:fill="808080"/>
            <w:vAlign w:val="center"/>
          </w:tcPr>
          <w:p w14:paraId="0A960BDF" w14:textId="77777777" w:rsidR="00A031A6" w:rsidRDefault="00916FD0">
            <w:pPr>
              <w:jc w:val="center"/>
              <w:rPr>
                <w:rFonts w:ascii="Arial" w:eastAsia="Arial" w:hAnsi="Arial" w:cs="Arial"/>
                <w:b/>
                <w:color w:val="FFFFFF"/>
                <w:sz w:val="16"/>
                <w:szCs w:val="16"/>
              </w:rPr>
            </w:pPr>
            <w:r>
              <w:rPr>
                <w:rFonts w:ascii="Arial" w:eastAsia="Arial" w:hAnsi="Arial" w:cs="Arial"/>
                <w:b/>
                <w:color w:val="FFFFFF"/>
                <w:sz w:val="16"/>
                <w:szCs w:val="16"/>
              </w:rPr>
              <w:t>RUPTL 2019 - 2028 Planned Capacity Addition</w:t>
            </w:r>
          </w:p>
        </w:tc>
      </w:tr>
      <w:tr w:rsidR="00A031A6" w14:paraId="6C6A7A9C" w14:textId="77777777">
        <w:trPr>
          <w:trHeight w:val="504"/>
          <w:jc w:val="center"/>
        </w:trPr>
        <w:tc>
          <w:tcPr>
            <w:tcW w:w="1779" w:type="dxa"/>
            <w:vAlign w:val="center"/>
          </w:tcPr>
          <w:p w14:paraId="214D1309" w14:textId="77777777" w:rsidR="00A031A6" w:rsidRDefault="00916FD0">
            <w:pPr>
              <w:rPr>
                <w:rFonts w:ascii="Arial" w:eastAsia="Arial" w:hAnsi="Arial" w:cs="Arial"/>
                <w:b/>
                <w:color w:val="000000"/>
                <w:sz w:val="16"/>
                <w:szCs w:val="16"/>
              </w:rPr>
            </w:pPr>
            <w:r>
              <w:rPr>
                <w:rFonts w:ascii="Arial" w:eastAsia="Arial" w:hAnsi="Arial" w:cs="Arial"/>
                <w:b/>
                <w:color w:val="000000"/>
                <w:sz w:val="16"/>
                <w:szCs w:val="16"/>
              </w:rPr>
              <w:t>Year</w:t>
            </w:r>
          </w:p>
        </w:tc>
        <w:tc>
          <w:tcPr>
            <w:tcW w:w="1189" w:type="dxa"/>
            <w:vAlign w:val="center"/>
          </w:tcPr>
          <w:p w14:paraId="24E01564"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2019</w:t>
            </w:r>
          </w:p>
        </w:tc>
        <w:tc>
          <w:tcPr>
            <w:tcW w:w="1189" w:type="dxa"/>
            <w:vAlign w:val="center"/>
          </w:tcPr>
          <w:p w14:paraId="43A15DFE"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2020</w:t>
            </w:r>
          </w:p>
        </w:tc>
        <w:tc>
          <w:tcPr>
            <w:tcW w:w="1189" w:type="dxa"/>
            <w:vAlign w:val="center"/>
          </w:tcPr>
          <w:p w14:paraId="209FA9C0"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2021</w:t>
            </w:r>
          </w:p>
        </w:tc>
        <w:tc>
          <w:tcPr>
            <w:tcW w:w="1189" w:type="dxa"/>
            <w:vAlign w:val="center"/>
          </w:tcPr>
          <w:p w14:paraId="283FE160"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2022</w:t>
            </w:r>
          </w:p>
        </w:tc>
        <w:tc>
          <w:tcPr>
            <w:tcW w:w="1189" w:type="dxa"/>
            <w:vAlign w:val="center"/>
          </w:tcPr>
          <w:p w14:paraId="35B5E350"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2023</w:t>
            </w:r>
          </w:p>
        </w:tc>
        <w:tc>
          <w:tcPr>
            <w:tcW w:w="1189" w:type="dxa"/>
            <w:vAlign w:val="center"/>
          </w:tcPr>
          <w:p w14:paraId="1DDE39D3"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2024</w:t>
            </w:r>
          </w:p>
        </w:tc>
        <w:tc>
          <w:tcPr>
            <w:tcW w:w="1189" w:type="dxa"/>
            <w:vAlign w:val="center"/>
          </w:tcPr>
          <w:p w14:paraId="715D0B3F"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2025</w:t>
            </w:r>
          </w:p>
        </w:tc>
        <w:tc>
          <w:tcPr>
            <w:tcW w:w="1189" w:type="dxa"/>
            <w:vAlign w:val="center"/>
          </w:tcPr>
          <w:p w14:paraId="1985678D"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2026</w:t>
            </w:r>
          </w:p>
        </w:tc>
        <w:tc>
          <w:tcPr>
            <w:tcW w:w="1189" w:type="dxa"/>
            <w:vAlign w:val="center"/>
          </w:tcPr>
          <w:p w14:paraId="2DE242D9"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2027</w:t>
            </w:r>
          </w:p>
        </w:tc>
        <w:tc>
          <w:tcPr>
            <w:tcW w:w="1189" w:type="dxa"/>
            <w:vAlign w:val="center"/>
          </w:tcPr>
          <w:p w14:paraId="5C2B4244"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2028</w:t>
            </w:r>
          </w:p>
        </w:tc>
        <w:tc>
          <w:tcPr>
            <w:tcW w:w="1194" w:type="dxa"/>
            <w:vAlign w:val="center"/>
          </w:tcPr>
          <w:p w14:paraId="029A16D4"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Total</w:t>
            </w:r>
          </w:p>
        </w:tc>
      </w:tr>
      <w:tr w:rsidR="00A031A6" w14:paraId="5D546DB9" w14:textId="77777777">
        <w:trPr>
          <w:trHeight w:val="504"/>
          <w:jc w:val="center"/>
        </w:trPr>
        <w:tc>
          <w:tcPr>
            <w:tcW w:w="1779" w:type="dxa"/>
            <w:vAlign w:val="center"/>
          </w:tcPr>
          <w:p w14:paraId="4BEEAA56"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Hydro PP</w:t>
            </w:r>
          </w:p>
        </w:tc>
        <w:tc>
          <w:tcPr>
            <w:tcW w:w="1189" w:type="dxa"/>
            <w:vAlign w:val="center"/>
          </w:tcPr>
          <w:p w14:paraId="1E0972C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154</w:t>
            </w:r>
          </w:p>
        </w:tc>
        <w:tc>
          <w:tcPr>
            <w:tcW w:w="1189" w:type="dxa"/>
            <w:vAlign w:val="center"/>
          </w:tcPr>
          <w:p w14:paraId="6B85AF8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326</w:t>
            </w:r>
          </w:p>
        </w:tc>
        <w:tc>
          <w:tcPr>
            <w:tcW w:w="1189" w:type="dxa"/>
            <w:vAlign w:val="center"/>
          </w:tcPr>
          <w:p w14:paraId="02AAFF4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755</w:t>
            </w:r>
          </w:p>
        </w:tc>
        <w:tc>
          <w:tcPr>
            <w:tcW w:w="1189" w:type="dxa"/>
            <w:vAlign w:val="center"/>
          </w:tcPr>
          <w:p w14:paraId="7510BDD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1E4F693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182</w:t>
            </w:r>
          </w:p>
        </w:tc>
        <w:tc>
          <w:tcPr>
            <w:tcW w:w="1189" w:type="dxa"/>
            <w:vAlign w:val="center"/>
          </w:tcPr>
          <w:p w14:paraId="6783ABC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1,484</w:t>
            </w:r>
          </w:p>
        </w:tc>
        <w:tc>
          <w:tcPr>
            <w:tcW w:w="1189" w:type="dxa"/>
            <w:vAlign w:val="center"/>
          </w:tcPr>
          <w:p w14:paraId="4161105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3,047</w:t>
            </w:r>
          </w:p>
        </w:tc>
        <w:tc>
          <w:tcPr>
            <w:tcW w:w="1189" w:type="dxa"/>
            <w:vAlign w:val="center"/>
          </w:tcPr>
          <w:p w14:paraId="43BC8B6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129</w:t>
            </w:r>
          </w:p>
        </w:tc>
        <w:tc>
          <w:tcPr>
            <w:tcW w:w="1189" w:type="dxa"/>
            <w:vAlign w:val="center"/>
          </w:tcPr>
          <w:p w14:paraId="333DF32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466</w:t>
            </w:r>
          </w:p>
        </w:tc>
        <w:tc>
          <w:tcPr>
            <w:tcW w:w="1189" w:type="dxa"/>
            <w:vAlign w:val="center"/>
          </w:tcPr>
          <w:p w14:paraId="6AA5B9C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1,467</w:t>
            </w:r>
          </w:p>
        </w:tc>
        <w:tc>
          <w:tcPr>
            <w:tcW w:w="1194" w:type="dxa"/>
            <w:vAlign w:val="center"/>
          </w:tcPr>
          <w:p w14:paraId="72D4808C"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8,010</w:t>
            </w:r>
          </w:p>
        </w:tc>
      </w:tr>
      <w:tr w:rsidR="00A031A6" w14:paraId="0A2FD12C" w14:textId="77777777">
        <w:trPr>
          <w:trHeight w:val="504"/>
          <w:jc w:val="center"/>
        </w:trPr>
        <w:tc>
          <w:tcPr>
            <w:tcW w:w="1779" w:type="dxa"/>
            <w:vAlign w:val="center"/>
          </w:tcPr>
          <w:p w14:paraId="0B023D95"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Geothermal PP</w:t>
            </w:r>
          </w:p>
        </w:tc>
        <w:tc>
          <w:tcPr>
            <w:tcW w:w="1189" w:type="dxa"/>
            <w:vAlign w:val="center"/>
          </w:tcPr>
          <w:p w14:paraId="70013BC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190</w:t>
            </w:r>
          </w:p>
        </w:tc>
        <w:tc>
          <w:tcPr>
            <w:tcW w:w="1189" w:type="dxa"/>
            <w:vAlign w:val="center"/>
          </w:tcPr>
          <w:p w14:paraId="7A5EC8B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151</w:t>
            </w:r>
          </w:p>
        </w:tc>
        <w:tc>
          <w:tcPr>
            <w:tcW w:w="1189" w:type="dxa"/>
            <w:vAlign w:val="center"/>
          </w:tcPr>
          <w:p w14:paraId="2146C75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147</w:t>
            </w:r>
          </w:p>
        </w:tc>
        <w:tc>
          <w:tcPr>
            <w:tcW w:w="1189" w:type="dxa"/>
            <w:vAlign w:val="center"/>
          </w:tcPr>
          <w:p w14:paraId="335AD4C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455</w:t>
            </w:r>
          </w:p>
        </w:tc>
        <w:tc>
          <w:tcPr>
            <w:tcW w:w="1189" w:type="dxa"/>
            <w:vAlign w:val="center"/>
          </w:tcPr>
          <w:p w14:paraId="3EA1FDF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245</w:t>
            </w:r>
          </w:p>
        </w:tc>
        <w:tc>
          <w:tcPr>
            <w:tcW w:w="1189" w:type="dxa"/>
            <w:vAlign w:val="center"/>
          </w:tcPr>
          <w:p w14:paraId="679973A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415</w:t>
            </w:r>
          </w:p>
        </w:tc>
        <w:tc>
          <w:tcPr>
            <w:tcW w:w="1189" w:type="dxa"/>
            <w:vAlign w:val="center"/>
          </w:tcPr>
          <w:p w14:paraId="04F6B5F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2,759</w:t>
            </w:r>
          </w:p>
        </w:tc>
        <w:tc>
          <w:tcPr>
            <w:tcW w:w="1189" w:type="dxa"/>
            <w:vAlign w:val="center"/>
          </w:tcPr>
          <w:p w14:paraId="07AFBEF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w:t>
            </w:r>
          </w:p>
        </w:tc>
        <w:tc>
          <w:tcPr>
            <w:tcW w:w="1189" w:type="dxa"/>
            <w:vAlign w:val="center"/>
          </w:tcPr>
          <w:p w14:paraId="7C3CE0D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145</w:t>
            </w:r>
          </w:p>
        </w:tc>
        <w:tc>
          <w:tcPr>
            <w:tcW w:w="1189" w:type="dxa"/>
            <w:vAlign w:val="center"/>
          </w:tcPr>
          <w:p w14:paraId="468A884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55</w:t>
            </w:r>
          </w:p>
        </w:tc>
        <w:tc>
          <w:tcPr>
            <w:tcW w:w="1194" w:type="dxa"/>
            <w:vAlign w:val="center"/>
          </w:tcPr>
          <w:p w14:paraId="4B9ABC1F"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4,607</w:t>
            </w:r>
          </w:p>
        </w:tc>
      </w:tr>
      <w:tr w:rsidR="00A031A6" w14:paraId="1D8508C2" w14:textId="77777777">
        <w:trPr>
          <w:trHeight w:val="504"/>
          <w:jc w:val="center"/>
        </w:trPr>
        <w:tc>
          <w:tcPr>
            <w:tcW w:w="1779" w:type="dxa"/>
            <w:vAlign w:val="center"/>
          </w:tcPr>
          <w:p w14:paraId="67784BA4"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Solar PP</w:t>
            </w:r>
          </w:p>
        </w:tc>
        <w:tc>
          <w:tcPr>
            <w:tcW w:w="1189" w:type="dxa"/>
            <w:vAlign w:val="center"/>
          </w:tcPr>
          <w:p w14:paraId="0CFAB76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63</w:t>
            </w:r>
          </w:p>
        </w:tc>
        <w:tc>
          <w:tcPr>
            <w:tcW w:w="1189" w:type="dxa"/>
            <w:vAlign w:val="center"/>
          </w:tcPr>
          <w:p w14:paraId="095BE38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78</w:t>
            </w:r>
          </w:p>
        </w:tc>
        <w:tc>
          <w:tcPr>
            <w:tcW w:w="1189" w:type="dxa"/>
            <w:vAlign w:val="center"/>
          </w:tcPr>
          <w:p w14:paraId="2534B9D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219</w:t>
            </w:r>
          </w:p>
        </w:tc>
        <w:tc>
          <w:tcPr>
            <w:tcW w:w="1189" w:type="dxa"/>
            <w:vAlign w:val="center"/>
          </w:tcPr>
          <w:p w14:paraId="72C93F7E"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129</w:t>
            </w:r>
          </w:p>
        </w:tc>
        <w:tc>
          <w:tcPr>
            <w:tcW w:w="1189" w:type="dxa"/>
            <w:vAlign w:val="center"/>
          </w:tcPr>
          <w:p w14:paraId="2D95CA4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160</w:t>
            </w:r>
          </w:p>
        </w:tc>
        <w:tc>
          <w:tcPr>
            <w:tcW w:w="1189" w:type="dxa"/>
            <w:vAlign w:val="center"/>
          </w:tcPr>
          <w:p w14:paraId="667E937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w:t>
            </w:r>
          </w:p>
        </w:tc>
        <w:tc>
          <w:tcPr>
            <w:tcW w:w="1189" w:type="dxa"/>
            <w:vAlign w:val="center"/>
          </w:tcPr>
          <w:p w14:paraId="20EBE52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250</w:t>
            </w:r>
          </w:p>
        </w:tc>
        <w:tc>
          <w:tcPr>
            <w:tcW w:w="1189" w:type="dxa"/>
            <w:vAlign w:val="center"/>
          </w:tcPr>
          <w:p w14:paraId="14C276A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034F106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w:t>
            </w:r>
          </w:p>
        </w:tc>
        <w:tc>
          <w:tcPr>
            <w:tcW w:w="1189" w:type="dxa"/>
            <w:vAlign w:val="center"/>
          </w:tcPr>
          <w:p w14:paraId="0B35258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w:t>
            </w:r>
          </w:p>
        </w:tc>
        <w:tc>
          <w:tcPr>
            <w:tcW w:w="1194" w:type="dxa"/>
            <w:vAlign w:val="center"/>
          </w:tcPr>
          <w:p w14:paraId="10EE3572"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907</w:t>
            </w:r>
          </w:p>
        </w:tc>
      </w:tr>
      <w:tr w:rsidR="00A031A6" w14:paraId="5116537F" w14:textId="77777777">
        <w:trPr>
          <w:trHeight w:val="504"/>
          <w:jc w:val="center"/>
        </w:trPr>
        <w:tc>
          <w:tcPr>
            <w:tcW w:w="1779" w:type="dxa"/>
            <w:vAlign w:val="center"/>
          </w:tcPr>
          <w:p w14:paraId="13ADC778"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Wind PP</w:t>
            </w:r>
          </w:p>
        </w:tc>
        <w:tc>
          <w:tcPr>
            <w:tcW w:w="1189" w:type="dxa"/>
            <w:vAlign w:val="center"/>
          </w:tcPr>
          <w:p w14:paraId="0CC9FF4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3C531D3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5B94EE6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w:t>
            </w:r>
          </w:p>
        </w:tc>
        <w:tc>
          <w:tcPr>
            <w:tcW w:w="1189" w:type="dxa"/>
            <w:vAlign w:val="center"/>
          </w:tcPr>
          <w:p w14:paraId="7B8AF41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360</w:t>
            </w:r>
          </w:p>
        </w:tc>
        <w:tc>
          <w:tcPr>
            <w:tcW w:w="1189" w:type="dxa"/>
            <w:vAlign w:val="center"/>
          </w:tcPr>
          <w:p w14:paraId="1CC29D7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260</w:t>
            </w:r>
          </w:p>
        </w:tc>
        <w:tc>
          <w:tcPr>
            <w:tcW w:w="1189" w:type="dxa"/>
            <w:vAlign w:val="center"/>
          </w:tcPr>
          <w:p w14:paraId="71200EA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w:t>
            </w:r>
          </w:p>
        </w:tc>
        <w:tc>
          <w:tcPr>
            <w:tcW w:w="1189" w:type="dxa"/>
            <w:vAlign w:val="center"/>
          </w:tcPr>
          <w:p w14:paraId="75E046B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150</w:t>
            </w:r>
          </w:p>
        </w:tc>
        <w:tc>
          <w:tcPr>
            <w:tcW w:w="1189" w:type="dxa"/>
            <w:vAlign w:val="center"/>
          </w:tcPr>
          <w:p w14:paraId="380586C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470FCE2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44650D9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w:t>
            </w:r>
          </w:p>
        </w:tc>
        <w:tc>
          <w:tcPr>
            <w:tcW w:w="1194" w:type="dxa"/>
            <w:vAlign w:val="center"/>
          </w:tcPr>
          <w:p w14:paraId="73C7BFCF"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855</w:t>
            </w:r>
          </w:p>
        </w:tc>
      </w:tr>
      <w:tr w:rsidR="00A031A6" w14:paraId="417CD417" w14:textId="77777777">
        <w:trPr>
          <w:trHeight w:val="504"/>
          <w:jc w:val="center"/>
        </w:trPr>
        <w:tc>
          <w:tcPr>
            <w:tcW w:w="1779" w:type="dxa"/>
            <w:vAlign w:val="center"/>
          </w:tcPr>
          <w:p w14:paraId="608E0D2C"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Biomass PP</w:t>
            </w:r>
          </w:p>
        </w:tc>
        <w:tc>
          <w:tcPr>
            <w:tcW w:w="1189" w:type="dxa"/>
            <w:vAlign w:val="center"/>
          </w:tcPr>
          <w:p w14:paraId="449C294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12</w:t>
            </w:r>
          </w:p>
        </w:tc>
        <w:tc>
          <w:tcPr>
            <w:tcW w:w="1189" w:type="dxa"/>
            <w:vAlign w:val="center"/>
          </w:tcPr>
          <w:p w14:paraId="35E7550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139</w:t>
            </w:r>
          </w:p>
        </w:tc>
        <w:tc>
          <w:tcPr>
            <w:tcW w:w="1189" w:type="dxa"/>
            <w:vAlign w:val="center"/>
          </w:tcPr>
          <w:p w14:paraId="06B643D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w:t>
            </w:r>
          </w:p>
        </w:tc>
        <w:tc>
          <w:tcPr>
            <w:tcW w:w="1189" w:type="dxa"/>
            <w:vAlign w:val="center"/>
          </w:tcPr>
          <w:p w14:paraId="1955557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357</w:t>
            </w:r>
          </w:p>
        </w:tc>
        <w:tc>
          <w:tcPr>
            <w:tcW w:w="1189" w:type="dxa"/>
            <w:vAlign w:val="center"/>
          </w:tcPr>
          <w:p w14:paraId="79BC7F3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w:t>
            </w:r>
          </w:p>
        </w:tc>
        <w:tc>
          <w:tcPr>
            <w:tcW w:w="1189" w:type="dxa"/>
            <w:vAlign w:val="center"/>
          </w:tcPr>
          <w:p w14:paraId="4F69114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103</w:t>
            </w:r>
          </w:p>
        </w:tc>
        <w:tc>
          <w:tcPr>
            <w:tcW w:w="1189" w:type="dxa"/>
            <w:vAlign w:val="center"/>
          </w:tcPr>
          <w:p w14:paraId="0CC9E3B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19</w:t>
            </w:r>
          </w:p>
        </w:tc>
        <w:tc>
          <w:tcPr>
            <w:tcW w:w="1189" w:type="dxa"/>
            <w:vAlign w:val="center"/>
          </w:tcPr>
          <w:p w14:paraId="38307E3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w:t>
            </w:r>
          </w:p>
        </w:tc>
        <w:tc>
          <w:tcPr>
            <w:tcW w:w="1189" w:type="dxa"/>
            <w:vAlign w:val="center"/>
          </w:tcPr>
          <w:p w14:paraId="37664B4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w:t>
            </w:r>
          </w:p>
        </w:tc>
        <w:tc>
          <w:tcPr>
            <w:tcW w:w="1189" w:type="dxa"/>
            <w:vAlign w:val="center"/>
          </w:tcPr>
          <w:p w14:paraId="6A620FE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w:t>
            </w:r>
          </w:p>
        </w:tc>
        <w:tc>
          <w:tcPr>
            <w:tcW w:w="1194" w:type="dxa"/>
            <w:vAlign w:val="center"/>
          </w:tcPr>
          <w:p w14:paraId="4F09AE9E"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795</w:t>
            </w:r>
          </w:p>
        </w:tc>
      </w:tr>
      <w:tr w:rsidR="00A031A6" w14:paraId="3E1D4CE8" w14:textId="77777777">
        <w:trPr>
          <w:trHeight w:val="504"/>
          <w:jc w:val="center"/>
        </w:trPr>
        <w:tc>
          <w:tcPr>
            <w:tcW w:w="1779" w:type="dxa"/>
            <w:vAlign w:val="center"/>
          </w:tcPr>
          <w:p w14:paraId="6CE1576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Steam PP</w:t>
            </w:r>
          </w:p>
        </w:tc>
        <w:tc>
          <w:tcPr>
            <w:tcW w:w="1189" w:type="dxa"/>
            <w:vAlign w:val="center"/>
          </w:tcPr>
          <w:p w14:paraId="1BE2536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1,569</w:t>
            </w:r>
          </w:p>
        </w:tc>
        <w:tc>
          <w:tcPr>
            <w:tcW w:w="1189" w:type="dxa"/>
            <w:vAlign w:val="center"/>
          </w:tcPr>
          <w:p w14:paraId="54A723C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6,047</w:t>
            </w:r>
          </w:p>
        </w:tc>
        <w:tc>
          <w:tcPr>
            <w:tcW w:w="1189" w:type="dxa"/>
            <w:vAlign w:val="center"/>
          </w:tcPr>
          <w:p w14:paraId="2B14AFC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3,641</w:t>
            </w:r>
          </w:p>
        </w:tc>
        <w:tc>
          <w:tcPr>
            <w:tcW w:w="1189" w:type="dxa"/>
            <w:vAlign w:val="center"/>
          </w:tcPr>
          <w:p w14:paraId="53A87CB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2,780</w:t>
            </w:r>
          </w:p>
        </w:tc>
        <w:tc>
          <w:tcPr>
            <w:tcW w:w="1189" w:type="dxa"/>
            <w:vAlign w:val="center"/>
          </w:tcPr>
          <w:p w14:paraId="01C5A2B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4,590</w:t>
            </w:r>
          </w:p>
        </w:tc>
        <w:tc>
          <w:tcPr>
            <w:tcW w:w="1189" w:type="dxa"/>
            <w:vAlign w:val="center"/>
          </w:tcPr>
          <w:p w14:paraId="16003AB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3,090</w:t>
            </w:r>
          </w:p>
        </w:tc>
        <w:tc>
          <w:tcPr>
            <w:tcW w:w="1189" w:type="dxa"/>
            <w:vAlign w:val="center"/>
          </w:tcPr>
          <w:p w14:paraId="21D88DF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1,184</w:t>
            </w:r>
          </w:p>
        </w:tc>
        <w:tc>
          <w:tcPr>
            <w:tcW w:w="1189" w:type="dxa"/>
            <w:vAlign w:val="center"/>
          </w:tcPr>
          <w:p w14:paraId="0BCA27C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1,695</w:t>
            </w:r>
          </w:p>
        </w:tc>
        <w:tc>
          <w:tcPr>
            <w:tcW w:w="1189" w:type="dxa"/>
            <w:vAlign w:val="center"/>
          </w:tcPr>
          <w:p w14:paraId="6564ACD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1,375</w:t>
            </w:r>
          </w:p>
        </w:tc>
        <w:tc>
          <w:tcPr>
            <w:tcW w:w="1189" w:type="dxa"/>
            <w:vAlign w:val="center"/>
          </w:tcPr>
          <w:p w14:paraId="6248CDF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1,093</w:t>
            </w:r>
          </w:p>
        </w:tc>
        <w:tc>
          <w:tcPr>
            <w:tcW w:w="1194" w:type="dxa"/>
            <w:vAlign w:val="center"/>
          </w:tcPr>
          <w:p w14:paraId="1E12463D"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27,064</w:t>
            </w:r>
          </w:p>
        </w:tc>
      </w:tr>
      <w:tr w:rsidR="00A031A6" w14:paraId="5B5C244A" w14:textId="77777777">
        <w:trPr>
          <w:trHeight w:val="504"/>
          <w:jc w:val="center"/>
        </w:trPr>
        <w:tc>
          <w:tcPr>
            <w:tcW w:w="1779" w:type="dxa"/>
            <w:vAlign w:val="center"/>
          </w:tcPr>
          <w:p w14:paraId="051C2359"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Gas PP</w:t>
            </w:r>
          </w:p>
        </w:tc>
        <w:tc>
          <w:tcPr>
            <w:tcW w:w="1189" w:type="dxa"/>
            <w:vAlign w:val="center"/>
          </w:tcPr>
          <w:p w14:paraId="2384B04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890</w:t>
            </w:r>
          </w:p>
        </w:tc>
        <w:tc>
          <w:tcPr>
            <w:tcW w:w="1189" w:type="dxa"/>
            <w:vAlign w:val="center"/>
          </w:tcPr>
          <w:p w14:paraId="346A537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797</w:t>
            </w:r>
          </w:p>
        </w:tc>
        <w:tc>
          <w:tcPr>
            <w:tcW w:w="1189" w:type="dxa"/>
            <w:vAlign w:val="center"/>
          </w:tcPr>
          <w:p w14:paraId="6E10589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536</w:t>
            </w:r>
          </w:p>
        </w:tc>
        <w:tc>
          <w:tcPr>
            <w:tcW w:w="1189" w:type="dxa"/>
            <w:vAlign w:val="center"/>
          </w:tcPr>
          <w:p w14:paraId="04227AD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485</w:t>
            </w:r>
          </w:p>
        </w:tc>
        <w:tc>
          <w:tcPr>
            <w:tcW w:w="1189" w:type="dxa"/>
            <w:vAlign w:val="center"/>
          </w:tcPr>
          <w:p w14:paraId="39CF143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355</w:t>
            </w:r>
          </w:p>
        </w:tc>
        <w:tc>
          <w:tcPr>
            <w:tcW w:w="1189" w:type="dxa"/>
            <w:vAlign w:val="center"/>
          </w:tcPr>
          <w:p w14:paraId="5847963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95</w:t>
            </w:r>
          </w:p>
        </w:tc>
        <w:tc>
          <w:tcPr>
            <w:tcW w:w="1189" w:type="dxa"/>
            <w:vAlign w:val="center"/>
          </w:tcPr>
          <w:p w14:paraId="4D59943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40</w:t>
            </w:r>
          </w:p>
        </w:tc>
        <w:tc>
          <w:tcPr>
            <w:tcW w:w="1189" w:type="dxa"/>
            <w:vAlign w:val="center"/>
          </w:tcPr>
          <w:p w14:paraId="0097E79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50</w:t>
            </w:r>
          </w:p>
        </w:tc>
        <w:tc>
          <w:tcPr>
            <w:tcW w:w="1189" w:type="dxa"/>
            <w:vAlign w:val="center"/>
          </w:tcPr>
          <w:p w14:paraId="5E9C24A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27371F9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35</w:t>
            </w:r>
          </w:p>
        </w:tc>
        <w:tc>
          <w:tcPr>
            <w:tcW w:w="1194" w:type="dxa"/>
            <w:vAlign w:val="center"/>
          </w:tcPr>
          <w:p w14:paraId="08C3D201"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3,283</w:t>
            </w:r>
          </w:p>
        </w:tc>
      </w:tr>
      <w:tr w:rsidR="00A031A6" w14:paraId="5272A507" w14:textId="77777777">
        <w:trPr>
          <w:trHeight w:val="504"/>
          <w:jc w:val="center"/>
        </w:trPr>
        <w:tc>
          <w:tcPr>
            <w:tcW w:w="1779" w:type="dxa"/>
            <w:vAlign w:val="center"/>
          </w:tcPr>
          <w:p w14:paraId="78E90000"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Combined Cycle PP</w:t>
            </w:r>
          </w:p>
        </w:tc>
        <w:tc>
          <w:tcPr>
            <w:tcW w:w="1189" w:type="dxa"/>
            <w:vAlign w:val="center"/>
          </w:tcPr>
          <w:p w14:paraId="1DB1E70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702</w:t>
            </w:r>
          </w:p>
        </w:tc>
        <w:tc>
          <w:tcPr>
            <w:tcW w:w="1189" w:type="dxa"/>
            <w:vAlign w:val="center"/>
          </w:tcPr>
          <w:p w14:paraId="4CF8C81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2,276</w:t>
            </w:r>
          </w:p>
        </w:tc>
        <w:tc>
          <w:tcPr>
            <w:tcW w:w="1189" w:type="dxa"/>
            <w:vAlign w:val="center"/>
          </w:tcPr>
          <w:p w14:paraId="7F20FE4E"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475</w:t>
            </w:r>
          </w:p>
        </w:tc>
        <w:tc>
          <w:tcPr>
            <w:tcW w:w="1189" w:type="dxa"/>
            <w:vAlign w:val="center"/>
          </w:tcPr>
          <w:p w14:paraId="2FC9026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2,670</w:t>
            </w:r>
          </w:p>
        </w:tc>
        <w:tc>
          <w:tcPr>
            <w:tcW w:w="1189" w:type="dxa"/>
            <w:vAlign w:val="center"/>
          </w:tcPr>
          <w:p w14:paraId="4D6D097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1,180</w:t>
            </w:r>
          </w:p>
        </w:tc>
        <w:tc>
          <w:tcPr>
            <w:tcW w:w="1189" w:type="dxa"/>
            <w:vAlign w:val="center"/>
          </w:tcPr>
          <w:p w14:paraId="6B103BD2"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750</w:t>
            </w:r>
          </w:p>
        </w:tc>
        <w:tc>
          <w:tcPr>
            <w:tcW w:w="1189" w:type="dxa"/>
            <w:vAlign w:val="center"/>
          </w:tcPr>
          <w:p w14:paraId="68D3C63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1F6857F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1189" w:type="dxa"/>
            <w:vAlign w:val="center"/>
          </w:tcPr>
          <w:p w14:paraId="01028D3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400</w:t>
            </w:r>
          </w:p>
        </w:tc>
        <w:tc>
          <w:tcPr>
            <w:tcW w:w="1189" w:type="dxa"/>
            <w:vAlign w:val="center"/>
          </w:tcPr>
          <w:p w14:paraId="59F080E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450</w:t>
            </w:r>
          </w:p>
        </w:tc>
        <w:tc>
          <w:tcPr>
            <w:tcW w:w="1194" w:type="dxa"/>
            <w:vAlign w:val="center"/>
          </w:tcPr>
          <w:p w14:paraId="7A8EC6EE"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9,133</w:t>
            </w:r>
          </w:p>
        </w:tc>
      </w:tr>
      <w:tr w:rsidR="00A031A6" w14:paraId="7EE037C6" w14:textId="77777777">
        <w:trPr>
          <w:trHeight w:val="504"/>
          <w:jc w:val="center"/>
        </w:trPr>
        <w:tc>
          <w:tcPr>
            <w:tcW w:w="1779" w:type="dxa"/>
            <w:vAlign w:val="center"/>
          </w:tcPr>
          <w:p w14:paraId="1331CE18"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lastRenderedPageBreak/>
              <w:t>Diesel PP*</w:t>
            </w:r>
          </w:p>
        </w:tc>
        <w:tc>
          <w:tcPr>
            <w:tcW w:w="1189" w:type="dxa"/>
            <w:vAlign w:val="center"/>
          </w:tcPr>
          <w:p w14:paraId="78BC2C4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1189" w:type="dxa"/>
            <w:vAlign w:val="center"/>
          </w:tcPr>
          <w:p w14:paraId="65FCB86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8</w:t>
            </w:r>
          </w:p>
        </w:tc>
        <w:tc>
          <w:tcPr>
            <w:tcW w:w="1189" w:type="dxa"/>
            <w:vAlign w:val="center"/>
          </w:tcPr>
          <w:p w14:paraId="2B3A277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w:t>
            </w:r>
          </w:p>
        </w:tc>
        <w:tc>
          <w:tcPr>
            <w:tcW w:w="1189" w:type="dxa"/>
            <w:vAlign w:val="center"/>
          </w:tcPr>
          <w:p w14:paraId="710821D1"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w:t>
            </w:r>
          </w:p>
        </w:tc>
        <w:tc>
          <w:tcPr>
            <w:tcW w:w="1189" w:type="dxa"/>
            <w:vAlign w:val="center"/>
          </w:tcPr>
          <w:p w14:paraId="60065439"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w:t>
            </w:r>
          </w:p>
        </w:tc>
        <w:tc>
          <w:tcPr>
            <w:tcW w:w="1189" w:type="dxa"/>
            <w:vAlign w:val="center"/>
          </w:tcPr>
          <w:p w14:paraId="6DD9EDF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3</w:t>
            </w:r>
          </w:p>
        </w:tc>
        <w:tc>
          <w:tcPr>
            <w:tcW w:w="1189" w:type="dxa"/>
            <w:vAlign w:val="center"/>
          </w:tcPr>
          <w:p w14:paraId="5C8A0B3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36DD471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1FC74A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2D14E35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14:paraId="15628049"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201</w:t>
            </w:r>
          </w:p>
        </w:tc>
      </w:tr>
      <w:tr w:rsidR="00A031A6" w14:paraId="4B73C30C" w14:textId="77777777">
        <w:trPr>
          <w:trHeight w:val="504"/>
          <w:jc w:val="center"/>
        </w:trPr>
        <w:tc>
          <w:tcPr>
            <w:tcW w:w="1779" w:type="dxa"/>
            <w:vAlign w:val="center"/>
          </w:tcPr>
          <w:p w14:paraId="7AC89D2A"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Gas Engine PP</w:t>
            </w:r>
          </w:p>
        </w:tc>
        <w:tc>
          <w:tcPr>
            <w:tcW w:w="1189" w:type="dxa"/>
            <w:vAlign w:val="center"/>
          </w:tcPr>
          <w:p w14:paraId="7D42465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2929CE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D9B180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41F5759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00AE2DB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351C1D2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1297DF1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756BDA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05B7742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9EF8CF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14:paraId="25FF3A7E"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0</w:t>
            </w:r>
          </w:p>
        </w:tc>
      </w:tr>
      <w:tr w:rsidR="00A031A6" w14:paraId="02059E92" w14:textId="77777777">
        <w:trPr>
          <w:trHeight w:val="504"/>
          <w:jc w:val="center"/>
        </w:trPr>
        <w:tc>
          <w:tcPr>
            <w:tcW w:w="1779" w:type="dxa"/>
            <w:vAlign w:val="center"/>
          </w:tcPr>
          <w:p w14:paraId="330E83F1"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Micro Hydro PP</w:t>
            </w:r>
          </w:p>
        </w:tc>
        <w:tc>
          <w:tcPr>
            <w:tcW w:w="1189" w:type="dxa"/>
            <w:vAlign w:val="center"/>
          </w:tcPr>
          <w:p w14:paraId="4EE8938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140</w:t>
            </w:r>
          </w:p>
        </w:tc>
        <w:tc>
          <w:tcPr>
            <w:tcW w:w="1189" w:type="dxa"/>
            <w:vAlign w:val="center"/>
          </w:tcPr>
          <w:p w14:paraId="4B71BB1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1189" w:type="dxa"/>
            <w:vAlign w:val="center"/>
          </w:tcPr>
          <w:p w14:paraId="6522B7D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479</w:t>
            </w:r>
          </w:p>
        </w:tc>
        <w:tc>
          <w:tcPr>
            <w:tcW w:w="1189" w:type="dxa"/>
            <w:vAlign w:val="center"/>
          </w:tcPr>
          <w:p w14:paraId="7FF3C18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200</w:t>
            </w:r>
          </w:p>
        </w:tc>
        <w:tc>
          <w:tcPr>
            <w:tcW w:w="1189" w:type="dxa"/>
            <w:vAlign w:val="center"/>
          </w:tcPr>
          <w:p w14:paraId="4554D6C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168</w:t>
            </w:r>
          </w:p>
        </w:tc>
        <w:tc>
          <w:tcPr>
            <w:tcW w:w="1189" w:type="dxa"/>
            <w:vAlign w:val="center"/>
          </w:tcPr>
          <w:p w14:paraId="62C1402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232</w:t>
            </w:r>
          </w:p>
        </w:tc>
        <w:tc>
          <w:tcPr>
            <w:tcW w:w="1189" w:type="dxa"/>
            <w:vAlign w:val="center"/>
          </w:tcPr>
          <w:p w14:paraId="2AC5FAA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27</w:t>
            </w:r>
          </w:p>
        </w:tc>
        <w:tc>
          <w:tcPr>
            <w:tcW w:w="1189" w:type="dxa"/>
            <w:vAlign w:val="center"/>
          </w:tcPr>
          <w:p w14:paraId="082E534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w:t>
            </w:r>
          </w:p>
        </w:tc>
        <w:tc>
          <w:tcPr>
            <w:tcW w:w="1189" w:type="dxa"/>
            <w:vAlign w:val="center"/>
          </w:tcPr>
          <w:p w14:paraId="743EA15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20</w:t>
            </w:r>
          </w:p>
        </w:tc>
        <w:tc>
          <w:tcPr>
            <w:tcW w:w="1189" w:type="dxa"/>
            <w:vAlign w:val="center"/>
          </w:tcPr>
          <w:p w14:paraId="21C1584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10</w:t>
            </w:r>
          </w:p>
        </w:tc>
        <w:tc>
          <w:tcPr>
            <w:tcW w:w="1194" w:type="dxa"/>
            <w:vAlign w:val="center"/>
          </w:tcPr>
          <w:p w14:paraId="11659B5B"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1,534</w:t>
            </w:r>
          </w:p>
        </w:tc>
      </w:tr>
      <w:tr w:rsidR="00A031A6" w14:paraId="0BD1A083" w14:textId="77777777">
        <w:trPr>
          <w:trHeight w:val="504"/>
          <w:jc w:val="center"/>
        </w:trPr>
        <w:tc>
          <w:tcPr>
            <w:tcW w:w="1779" w:type="dxa"/>
            <w:vAlign w:val="center"/>
          </w:tcPr>
          <w:p w14:paraId="2CA0F678"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Mini Hydro PP</w:t>
            </w:r>
          </w:p>
        </w:tc>
        <w:tc>
          <w:tcPr>
            <w:tcW w:w="1189" w:type="dxa"/>
            <w:vAlign w:val="center"/>
          </w:tcPr>
          <w:p w14:paraId="361C329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2CE736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52ECD8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1F8F7F0C"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5F09C27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1475C6D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0559F2C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6C2CF5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5A995F2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48E327A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14:paraId="4D749053"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0</w:t>
            </w:r>
          </w:p>
        </w:tc>
      </w:tr>
      <w:tr w:rsidR="00A031A6" w14:paraId="3582AE03" w14:textId="77777777">
        <w:trPr>
          <w:trHeight w:val="504"/>
          <w:jc w:val="center"/>
        </w:trPr>
        <w:tc>
          <w:tcPr>
            <w:tcW w:w="1779" w:type="dxa"/>
            <w:vAlign w:val="center"/>
          </w:tcPr>
          <w:p w14:paraId="04078BB3"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Biogas PP</w:t>
            </w:r>
          </w:p>
        </w:tc>
        <w:tc>
          <w:tcPr>
            <w:tcW w:w="1189" w:type="dxa"/>
            <w:vAlign w:val="center"/>
          </w:tcPr>
          <w:p w14:paraId="3086F7C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44DCEF34"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AD16A2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EE2CA03"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5D6CBF9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2FFDD58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37F44F5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32948D28"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07F7F52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4E838BF0"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14:paraId="279C62AF"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0</w:t>
            </w:r>
          </w:p>
        </w:tc>
      </w:tr>
      <w:tr w:rsidR="00A031A6" w14:paraId="24C07D96" w14:textId="77777777">
        <w:trPr>
          <w:trHeight w:val="504"/>
          <w:jc w:val="center"/>
        </w:trPr>
        <w:tc>
          <w:tcPr>
            <w:tcW w:w="1779" w:type="dxa"/>
            <w:vAlign w:val="center"/>
          </w:tcPr>
          <w:p w14:paraId="715A8C24" w14:textId="77777777" w:rsidR="00A031A6" w:rsidRDefault="00916FD0">
            <w:pPr>
              <w:rPr>
                <w:rFonts w:ascii="Arial" w:eastAsia="Arial" w:hAnsi="Arial" w:cs="Arial"/>
                <w:color w:val="000000"/>
                <w:sz w:val="16"/>
                <w:szCs w:val="16"/>
              </w:rPr>
            </w:pPr>
            <w:r>
              <w:rPr>
                <w:rFonts w:ascii="Arial" w:eastAsia="Arial" w:hAnsi="Arial" w:cs="Arial"/>
                <w:color w:val="000000"/>
                <w:sz w:val="16"/>
                <w:szCs w:val="16"/>
              </w:rPr>
              <w:t>Marine Energy PP</w:t>
            </w:r>
          </w:p>
        </w:tc>
        <w:tc>
          <w:tcPr>
            <w:tcW w:w="1189" w:type="dxa"/>
            <w:vAlign w:val="center"/>
          </w:tcPr>
          <w:p w14:paraId="39BF463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9F5F05D"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B13230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7</w:t>
            </w:r>
          </w:p>
        </w:tc>
        <w:tc>
          <w:tcPr>
            <w:tcW w:w="1189" w:type="dxa"/>
            <w:vAlign w:val="center"/>
          </w:tcPr>
          <w:p w14:paraId="5834D947"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E80691B"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1F4D3BB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0F91F6A"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20372556"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7EA02995"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89" w:type="dxa"/>
            <w:vAlign w:val="center"/>
          </w:tcPr>
          <w:p w14:paraId="6168350F" w14:textId="77777777" w:rsidR="00A031A6" w:rsidRDefault="00916FD0">
            <w:pPr>
              <w:jc w:val="center"/>
              <w:rPr>
                <w:rFonts w:ascii="Arial" w:eastAsia="Arial" w:hAnsi="Arial" w:cs="Arial"/>
                <w:color w:val="000000"/>
                <w:sz w:val="16"/>
                <w:szCs w:val="16"/>
              </w:rPr>
            </w:pPr>
            <w:r>
              <w:rPr>
                <w:rFonts w:ascii="Arial" w:eastAsia="Arial" w:hAnsi="Arial" w:cs="Arial"/>
                <w:color w:val="000000"/>
                <w:sz w:val="16"/>
                <w:szCs w:val="16"/>
              </w:rPr>
              <w:t>0</w:t>
            </w:r>
          </w:p>
        </w:tc>
        <w:tc>
          <w:tcPr>
            <w:tcW w:w="1194" w:type="dxa"/>
            <w:vAlign w:val="center"/>
          </w:tcPr>
          <w:p w14:paraId="75C86B12"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w:t>
            </w:r>
          </w:p>
        </w:tc>
      </w:tr>
      <w:tr w:rsidR="00A031A6" w14:paraId="601C8985" w14:textId="77777777">
        <w:trPr>
          <w:trHeight w:val="504"/>
          <w:jc w:val="center"/>
        </w:trPr>
        <w:tc>
          <w:tcPr>
            <w:tcW w:w="1779" w:type="dxa"/>
            <w:vAlign w:val="center"/>
          </w:tcPr>
          <w:p w14:paraId="079EBAA3" w14:textId="77777777" w:rsidR="00A031A6" w:rsidRDefault="00916FD0">
            <w:pPr>
              <w:rPr>
                <w:rFonts w:ascii="Arial" w:eastAsia="Arial" w:hAnsi="Arial" w:cs="Arial"/>
                <w:b/>
                <w:color w:val="000000"/>
                <w:sz w:val="16"/>
                <w:szCs w:val="16"/>
              </w:rPr>
            </w:pPr>
            <w:r>
              <w:rPr>
                <w:rFonts w:ascii="Arial" w:eastAsia="Arial" w:hAnsi="Arial" w:cs="Arial"/>
                <w:b/>
                <w:color w:val="000000"/>
                <w:sz w:val="16"/>
                <w:szCs w:val="16"/>
              </w:rPr>
              <w:t>Total</w:t>
            </w:r>
          </w:p>
        </w:tc>
        <w:tc>
          <w:tcPr>
            <w:tcW w:w="1189" w:type="dxa"/>
            <w:vAlign w:val="center"/>
          </w:tcPr>
          <w:p w14:paraId="6F6ABC34"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3,858</w:t>
            </w:r>
          </w:p>
        </w:tc>
        <w:tc>
          <w:tcPr>
            <w:tcW w:w="1189" w:type="dxa"/>
            <w:vAlign w:val="center"/>
          </w:tcPr>
          <w:p w14:paraId="6CC3118C"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10,060</w:t>
            </w:r>
          </w:p>
        </w:tc>
        <w:tc>
          <w:tcPr>
            <w:tcW w:w="1189" w:type="dxa"/>
            <w:vAlign w:val="center"/>
          </w:tcPr>
          <w:p w14:paraId="12850F0A"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6,351</w:t>
            </w:r>
          </w:p>
        </w:tc>
        <w:tc>
          <w:tcPr>
            <w:tcW w:w="1189" w:type="dxa"/>
            <w:vAlign w:val="center"/>
          </w:tcPr>
          <w:p w14:paraId="159EAAC2"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7,439</w:t>
            </w:r>
          </w:p>
        </w:tc>
        <w:tc>
          <w:tcPr>
            <w:tcW w:w="1189" w:type="dxa"/>
            <w:vAlign w:val="center"/>
          </w:tcPr>
          <w:p w14:paraId="030989D4"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7,237</w:t>
            </w:r>
          </w:p>
        </w:tc>
        <w:tc>
          <w:tcPr>
            <w:tcW w:w="1189" w:type="dxa"/>
            <w:vAlign w:val="center"/>
          </w:tcPr>
          <w:p w14:paraId="1FF94A15"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6,226</w:t>
            </w:r>
          </w:p>
        </w:tc>
        <w:tc>
          <w:tcPr>
            <w:tcW w:w="1189" w:type="dxa"/>
            <w:vAlign w:val="center"/>
          </w:tcPr>
          <w:p w14:paraId="399BC6B9"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7,476</w:t>
            </w:r>
          </w:p>
        </w:tc>
        <w:tc>
          <w:tcPr>
            <w:tcW w:w="1189" w:type="dxa"/>
            <w:vAlign w:val="center"/>
          </w:tcPr>
          <w:p w14:paraId="28236F71"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2,174</w:t>
            </w:r>
          </w:p>
        </w:tc>
        <w:tc>
          <w:tcPr>
            <w:tcW w:w="1189" w:type="dxa"/>
            <w:vAlign w:val="center"/>
          </w:tcPr>
          <w:p w14:paraId="7276F96C"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2,423</w:t>
            </w:r>
          </w:p>
        </w:tc>
        <w:tc>
          <w:tcPr>
            <w:tcW w:w="1189" w:type="dxa"/>
            <w:vAlign w:val="center"/>
          </w:tcPr>
          <w:p w14:paraId="594B86FD"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3,152</w:t>
            </w:r>
          </w:p>
        </w:tc>
        <w:tc>
          <w:tcPr>
            <w:tcW w:w="1194" w:type="dxa"/>
            <w:vAlign w:val="center"/>
          </w:tcPr>
          <w:p w14:paraId="41868156" w14:textId="77777777" w:rsidR="00A031A6" w:rsidRDefault="00916FD0">
            <w:pPr>
              <w:jc w:val="center"/>
              <w:rPr>
                <w:rFonts w:ascii="Arial" w:eastAsia="Arial" w:hAnsi="Arial" w:cs="Arial"/>
                <w:b/>
                <w:color w:val="000000"/>
                <w:sz w:val="16"/>
                <w:szCs w:val="16"/>
              </w:rPr>
            </w:pPr>
            <w:r>
              <w:rPr>
                <w:rFonts w:ascii="Arial" w:eastAsia="Arial" w:hAnsi="Arial" w:cs="Arial"/>
                <w:b/>
                <w:color w:val="000000"/>
                <w:sz w:val="16"/>
                <w:szCs w:val="16"/>
              </w:rPr>
              <w:t>56,396</w:t>
            </w:r>
          </w:p>
        </w:tc>
      </w:tr>
    </w:tbl>
    <w:p w14:paraId="41D4A5E2" w14:textId="77777777" w:rsidR="00A031A6" w:rsidRDefault="00A031A6">
      <w:pPr>
        <w:spacing w:line="360" w:lineRule="auto"/>
        <w:rPr>
          <w:rFonts w:ascii="Arial" w:eastAsia="Arial" w:hAnsi="Arial" w:cs="Arial"/>
          <w:sz w:val="20"/>
          <w:szCs w:val="20"/>
        </w:rPr>
      </w:pPr>
    </w:p>
    <w:sectPr w:rsidR="00A031A6">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1064D" w14:textId="77777777" w:rsidR="00105476" w:rsidRDefault="00105476">
      <w:pPr>
        <w:spacing w:after="0" w:line="240" w:lineRule="auto"/>
      </w:pPr>
      <w:r>
        <w:separator/>
      </w:r>
    </w:p>
  </w:endnote>
  <w:endnote w:type="continuationSeparator" w:id="0">
    <w:p w14:paraId="2D65595E" w14:textId="77777777" w:rsidR="00105476" w:rsidRDefault="0010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5BD28" w14:textId="77777777" w:rsidR="00672401" w:rsidRDefault="0067240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5964DAB" w14:textId="77777777" w:rsidR="00672401" w:rsidRDefault="0067240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AF1E8" w14:textId="77777777" w:rsidR="00672401" w:rsidRDefault="0067240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C3F46D9" w14:textId="77777777" w:rsidR="00672401" w:rsidRDefault="00672401">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74F43" w14:textId="77777777" w:rsidR="00105476" w:rsidRDefault="00105476">
      <w:pPr>
        <w:spacing w:after="0" w:line="240" w:lineRule="auto"/>
      </w:pPr>
      <w:r>
        <w:separator/>
      </w:r>
    </w:p>
  </w:footnote>
  <w:footnote w:type="continuationSeparator" w:id="0">
    <w:p w14:paraId="628EE011" w14:textId="77777777" w:rsidR="00105476" w:rsidRDefault="00105476">
      <w:pPr>
        <w:spacing w:after="0" w:line="240" w:lineRule="auto"/>
      </w:pPr>
      <w:r>
        <w:continuationSeparator/>
      </w:r>
    </w:p>
  </w:footnote>
  <w:footnote w:id="1">
    <w:p w14:paraId="7FF2363A" w14:textId="77777777" w:rsidR="00672401" w:rsidRDefault="00672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One</w:t>
      </w:r>
      <w:r>
        <w:rPr>
          <w:rFonts w:ascii="Arial" w:eastAsia="Arial" w:hAnsi="Arial" w:cs="Arial"/>
          <w:color w:val="000000"/>
          <w:sz w:val="16"/>
          <w:szCs w:val="16"/>
        </w:rPr>
        <w:t xml:space="preserve"> US dollar = 14,210 IDR, Bloomberg Data, 23 June 2020, </w:t>
      </w:r>
      <w:hyperlink r:id="rId1">
        <w:r>
          <w:rPr>
            <w:rFonts w:ascii="Arial" w:eastAsia="Arial" w:hAnsi="Arial" w:cs="Arial"/>
            <w:color w:val="0563C1"/>
            <w:sz w:val="16"/>
            <w:szCs w:val="16"/>
            <w:u w:val="single"/>
          </w:rPr>
          <w:t>https://www.bloomberg.com/quote/USDIDR:CUR</w:t>
        </w:r>
      </w:hyperlink>
      <w:r>
        <w:rPr>
          <w:rFonts w:ascii="Arial" w:eastAsia="Arial" w:hAnsi="Arial" w:cs="Arial"/>
          <w:color w:val="0563C1"/>
          <w:sz w:val="16"/>
          <w:szCs w:val="16"/>
        </w:rPr>
        <w:t>.</w:t>
      </w:r>
    </w:p>
  </w:footnote>
  <w:footnote w:id="2">
    <w:p w14:paraId="0A17428A" w14:textId="77777777" w:rsidR="00672401" w:rsidRDefault="00672401">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GHG emission in this report refers to the emissions from three major gases – CO</w:t>
      </w:r>
      <w:r>
        <w:rPr>
          <w:rFonts w:ascii="Arial" w:eastAsia="Arial" w:hAnsi="Arial" w:cs="Arial"/>
          <w:color w:val="000000"/>
          <w:sz w:val="20"/>
          <w:szCs w:val="20"/>
          <w:vertAlign w:val="subscript"/>
        </w:rPr>
        <w:t>2</w:t>
      </w:r>
      <w:r>
        <w:rPr>
          <w:rFonts w:ascii="Arial" w:eastAsia="Arial" w:hAnsi="Arial" w:cs="Arial"/>
          <w:color w:val="000000"/>
          <w:sz w:val="20"/>
          <w:szCs w:val="20"/>
        </w:rPr>
        <w:t>, CH</w:t>
      </w:r>
      <w:r>
        <w:rPr>
          <w:rFonts w:ascii="Arial" w:eastAsia="Arial" w:hAnsi="Arial" w:cs="Arial"/>
          <w:color w:val="000000"/>
          <w:sz w:val="20"/>
          <w:szCs w:val="20"/>
          <w:vertAlign w:val="subscript"/>
        </w:rPr>
        <w:t>4</w:t>
      </w:r>
      <w:r>
        <w:rPr>
          <w:rFonts w:ascii="Arial" w:eastAsia="Arial" w:hAnsi="Arial" w:cs="Arial"/>
          <w:color w:val="000000"/>
          <w:sz w:val="20"/>
          <w:szCs w:val="20"/>
        </w:rPr>
        <w:t xml:space="preserve"> and N</w:t>
      </w:r>
      <w:r>
        <w:rPr>
          <w:rFonts w:ascii="Arial" w:eastAsia="Arial" w:hAnsi="Arial" w:cs="Arial"/>
          <w:color w:val="000000"/>
          <w:sz w:val="20"/>
          <w:szCs w:val="20"/>
          <w:vertAlign w:val="subscript"/>
        </w:rPr>
        <w:t>2</w:t>
      </w:r>
      <w:r>
        <w:rPr>
          <w:rFonts w:ascii="Arial" w:eastAsia="Arial" w:hAnsi="Arial" w:cs="Arial"/>
          <w:color w:val="000000"/>
          <w:sz w:val="20"/>
          <w:szCs w:val="20"/>
        </w:rPr>
        <w:t>O – and is calculated as CO</w:t>
      </w:r>
      <w:r>
        <w:rPr>
          <w:rFonts w:ascii="Arial" w:eastAsia="Arial" w:hAnsi="Arial" w:cs="Arial"/>
          <w:color w:val="000000"/>
          <w:sz w:val="20"/>
          <w:szCs w:val="20"/>
          <w:vertAlign w:val="subscript"/>
        </w:rPr>
        <w:t>2</w:t>
      </w:r>
      <w:r>
        <w:rPr>
          <w:rFonts w:ascii="Arial" w:eastAsia="Arial" w:hAnsi="Arial" w:cs="Arial"/>
          <w:color w:val="000000"/>
          <w:sz w:val="20"/>
          <w:szCs w:val="20"/>
        </w:rPr>
        <w:t>-e in line with the IPCC guidelines.</w:t>
      </w:r>
    </w:p>
  </w:footnote>
  <w:footnote w:id="3">
    <w:p w14:paraId="3960582A" w14:textId="77777777" w:rsidR="00672401" w:rsidRDefault="00672401">
      <w:pPr>
        <w:spacing w:after="0" w:line="240" w:lineRule="auto"/>
        <w:rPr>
          <w:rFonts w:ascii="Arial" w:eastAsia="Arial" w:hAnsi="Arial" w:cs="Arial"/>
          <w:sz w:val="18"/>
          <w:szCs w:val="18"/>
        </w:rPr>
      </w:pPr>
      <w:r>
        <w:rPr>
          <w:vertAlign w:val="superscript"/>
        </w:rPr>
        <w:footnoteRef/>
      </w:r>
      <w:r>
        <w:t xml:space="preserve"> </w:t>
      </w:r>
      <w:r>
        <w:rPr>
          <w:rFonts w:ascii="Arial" w:eastAsia="Arial" w:hAnsi="Arial" w:cs="Arial"/>
          <w:sz w:val="18"/>
          <w:szCs w:val="18"/>
        </w:rPr>
        <w:t>Energy elasticity of energy consumption measures the relative change of energy consumption to achieve 1 per cent change in GDP.</w:t>
      </w:r>
    </w:p>
  </w:footnote>
  <w:footnote w:id="4">
    <w:p w14:paraId="4023074B" w14:textId="77777777" w:rsidR="00672401" w:rsidRDefault="00672401">
      <w:pPr>
        <w:spacing w:after="120" w:line="240" w:lineRule="auto"/>
        <w:jc w:val="both"/>
        <w:rPr>
          <w:rFonts w:ascii="Arial" w:eastAsia="Arial" w:hAnsi="Arial" w:cs="Arial"/>
        </w:rPr>
      </w:pPr>
      <w:r>
        <w:rPr>
          <w:vertAlign w:val="superscript"/>
        </w:rPr>
        <w:footnoteRef/>
      </w:r>
      <w:r>
        <w:rPr>
          <w:rFonts w:ascii="Arial" w:eastAsia="Arial" w:hAnsi="Arial" w:cs="Arial"/>
          <w:sz w:val="18"/>
          <w:szCs w:val="18"/>
        </w:rPr>
        <w:t xml:space="preserve"> The NDC document target is based on old data. A revised target is important for Indonesia to be able to make informed decisions. Indonesia Energy Outlook 2019 (912 MTCO2e) and the NEXSTEP analysis (880 MTCO2e) BAU scenario results align with each other on projected energy sector emissions in 2030.  </w:t>
      </w:r>
    </w:p>
  </w:footnote>
  <w:footnote w:id="5">
    <w:p w14:paraId="1ADB9F64" w14:textId="77777777" w:rsidR="00672401" w:rsidRDefault="00672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http://documents.worldbank.org/curated/en/937711468320944879/pdf/88699-REVISED-LW16-Fin-Logo-OKR.pdf</w:t>
        </w:r>
      </w:hyperlink>
      <w:r>
        <w:rPr>
          <w:color w:val="0563C1"/>
          <w:sz w:val="20"/>
          <w:szCs w:val="20"/>
        </w:rPr>
        <w:t>.</w:t>
      </w:r>
      <w:r>
        <w:rPr>
          <w:color w:val="000000"/>
          <w:sz w:val="20"/>
          <w:szCs w:val="20"/>
        </w:rPr>
        <w:t xml:space="preserve"> </w:t>
      </w:r>
    </w:p>
  </w:footnote>
  <w:footnote w:id="6">
    <w:p w14:paraId="767E7C51" w14:textId="77777777" w:rsidR="00672401" w:rsidRDefault="00672401">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7">
    <w:p w14:paraId="6D742A15" w14:textId="77777777" w:rsidR="00672401" w:rsidRDefault="00672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8">
    <w:p w14:paraId="1C7F4ECF" w14:textId="77777777" w:rsidR="00672401" w:rsidRDefault="00672401">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Improvement in energy efficiency has the potential to reduce total final energy consumption which, in turn, will reduce the overall energy supply and thus will save investments in the energy sector.</w:t>
      </w:r>
    </w:p>
  </w:footnote>
  <w:footnote w:id="9">
    <w:p w14:paraId="5AFF1352" w14:textId="77777777" w:rsidR="00672401" w:rsidRDefault="00672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See </w:t>
      </w:r>
      <w:hyperlink r:id="rId3">
        <w:r>
          <w:rPr>
            <w:color w:val="0563C1"/>
            <w:sz w:val="20"/>
            <w:szCs w:val="20"/>
            <w:u w:val="single"/>
          </w:rPr>
          <w:t>https://www.undp.org/content/undp/en/home/librarypage/environment-energy/low_emission_climateresilientdevelopment/derisking-renewable-energy-investment.html</w:t>
        </w:r>
      </w:hyperlink>
      <w:r>
        <w:rPr>
          <w:color w:val="0563C1"/>
          <w:sz w:val="16"/>
          <w:szCs w:val="16"/>
        </w:rPr>
        <w:t>.</w:t>
      </w:r>
    </w:p>
  </w:footnote>
  <w:footnote w:id="10">
    <w:p w14:paraId="06950C81" w14:textId="77777777" w:rsidR="00672401" w:rsidRDefault="00672401">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1">
    <w:p w14:paraId="1F0D70EE" w14:textId="77777777" w:rsidR="00672401" w:rsidRDefault="00672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12">
    <w:p w14:paraId="75CA3104" w14:textId="77777777" w:rsidR="00F47CB8" w:rsidRDefault="00F47CB8" w:rsidP="00F47CB8">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3">
    <w:p w14:paraId="68C75831" w14:textId="77777777" w:rsidR="00F47CB8" w:rsidRDefault="00F47CB8" w:rsidP="00F47CB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14">
    <w:p w14:paraId="085C2485" w14:textId="77777777" w:rsidR="00F47CB8" w:rsidRDefault="00F47CB8" w:rsidP="00F47CB8">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5">
    <w:p w14:paraId="51F1B20C" w14:textId="77777777" w:rsidR="00F47CB8" w:rsidRDefault="00F47CB8" w:rsidP="00F47CB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16">
    <w:p w14:paraId="4787DD5C" w14:textId="77777777" w:rsidR="00AB12A9" w:rsidRDefault="00AB12A9" w:rsidP="00AB12A9">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7">
    <w:p w14:paraId="4243F494" w14:textId="77777777" w:rsidR="00AB12A9" w:rsidRDefault="00AB12A9" w:rsidP="00AB12A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 w:id="18">
    <w:p w14:paraId="39361071" w14:textId="77777777" w:rsidR="00AB12A9" w:rsidRDefault="00AB12A9" w:rsidP="00AB12A9">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w:t>
      </w:r>
      <w:r>
        <w:rPr>
          <w:color w:val="000000"/>
          <w:sz w:val="18"/>
          <w:szCs w:val="18"/>
        </w:rPr>
        <w:t xml:space="preserve">This assumption has been based on expert advice on what could be practically possible in the next decade. </w:t>
      </w:r>
    </w:p>
  </w:footnote>
  <w:footnote w:id="19">
    <w:p w14:paraId="6A2193DE" w14:textId="77777777" w:rsidR="00AB12A9" w:rsidRDefault="00AB12A9" w:rsidP="00AB12A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7917"/>
    <w:multiLevelType w:val="multilevel"/>
    <w:tmpl w:val="51C09E24"/>
    <w:lvl w:ilvl="0">
      <w:start w:val="1"/>
      <w:numFmt w:val="lowerLetter"/>
      <w:lvlText w:val="(%1)"/>
      <w:lvlJc w:val="righ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86F19"/>
    <w:multiLevelType w:val="multilevel"/>
    <w:tmpl w:val="D81069E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3D4F51"/>
    <w:multiLevelType w:val="multilevel"/>
    <w:tmpl w:val="173CA406"/>
    <w:lvl w:ilvl="0">
      <w:start w:val="1"/>
      <w:numFmt w:val="lowerLetter"/>
      <w:lvlText w:val="(%1)"/>
      <w:lvlJc w:val="right"/>
      <w:pPr>
        <w:ind w:left="1618" w:hanging="360"/>
      </w:pPr>
      <w:rPr>
        <w:rFonts w:ascii="Arial" w:eastAsia="Arial" w:hAnsi="Arial" w:cs="Arial"/>
      </w:rPr>
    </w:lvl>
    <w:lvl w:ilvl="1">
      <w:start w:val="1"/>
      <w:numFmt w:val="lowerLetter"/>
      <w:lvlText w:val="%2."/>
      <w:lvlJc w:val="left"/>
      <w:pPr>
        <w:ind w:left="2338" w:hanging="360"/>
      </w:pPr>
    </w:lvl>
    <w:lvl w:ilvl="2">
      <w:start w:val="1"/>
      <w:numFmt w:val="lowerRoman"/>
      <w:lvlText w:val="%3."/>
      <w:lvlJc w:val="right"/>
      <w:pPr>
        <w:ind w:left="3058" w:hanging="180"/>
      </w:pPr>
    </w:lvl>
    <w:lvl w:ilvl="3">
      <w:start w:val="1"/>
      <w:numFmt w:val="decimal"/>
      <w:lvlText w:val="%4."/>
      <w:lvlJc w:val="left"/>
      <w:pPr>
        <w:ind w:left="3778" w:hanging="360"/>
      </w:pPr>
    </w:lvl>
    <w:lvl w:ilvl="4">
      <w:start w:val="1"/>
      <w:numFmt w:val="lowerLetter"/>
      <w:lvlText w:val="%5."/>
      <w:lvlJc w:val="left"/>
      <w:pPr>
        <w:ind w:left="4498" w:hanging="360"/>
      </w:pPr>
    </w:lvl>
    <w:lvl w:ilvl="5">
      <w:start w:val="1"/>
      <w:numFmt w:val="lowerRoman"/>
      <w:lvlText w:val="%6."/>
      <w:lvlJc w:val="right"/>
      <w:pPr>
        <w:ind w:left="5218" w:hanging="180"/>
      </w:pPr>
    </w:lvl>
    <w:lvl w:ilvl="6">
      <w:start w:val="1"/>
      <w:numFmt w:val="decimal"/>
      <w:lvlText w:val="%7."/>
      <w:lvlJc w:val="left"/>
      <w:pPr>
        <w:ind w:left="5938" w:hanging="360"/>
      </w:pPr>
    </w:lvl>
    <w:lvl w:ilvl="7">
      <w:start w:val="1"/>
      <w:numFmt w:val="lowerLetter"/>
      <w:lvlText w:val="%8."/>
      <w:lvlJc w:val="left"/>
      <w:pPr>
        <w:ind w:left="6658" w:hanging="360"/>
      </w:pPr>
    </w:lvl>
    <w:lvl w:ilvl="8">
      <w:start w:val="1"/>
      <w:numFmt w:val="lowerRoman"/>
      <w:lvlText w:val="%9."/>
      <w:lvlJc w:val="right"/>
      <w:pPr>
        <w:ind w:left="7378" w:hanging="180"/>
      </w:pPr>
    </w:lvl>
  </w:abstractNum>
  <w:abstractNum w:abstractNumId="3" w15:restartNumberingAfterBreak="0">
    <w:nsid w:val="047A640F"/>
    <w:multiLevelType w:val="multilevel"/>
    <w:tmpl w:val="A8988252"/>
    <w:lvl w:ilvl="0">
      <w:start w:val="1"/>
      <w:numFmt w:val="lowerLetter"/>
      <w:lvlText w:val="(%1)"/>
      <w:lvlJc w:val="right"/>
      <w:pPr>
        <w:ind w:left="644" w:hanging="359"/>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1F164C"/>
    <w:multiLevelType w:val="multilevel"/>
    <w:tmpl w:val="3A064D52"/>
    <w:lvl w:ilvl="0">
      <w:start w:val="1"/>
      <w:numFmt w:val="lowerLetter"/>
      <w:lvlText w:val="(%1)"/>
      <w:lvlJc w:val="right"/>
      <w:pPr>
        <w:ind w:left="502" w:hanging="360"/>
      </w:pPr>
      <w:rPr>
        <w:rFonts w:ascii="Arial" w:eastAsia="Arial" w:hAnsi="Arial" w:cs="Arial"/>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09C15790"/>
    <w:multiLevelType w:val="multilevel"/>
    <w:tmpl w:val="D250DED2"/>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5E21A8"/>
    <w:multiLevelType w:val="multilevel"/>
    <w:tmpl w:val="A330EC3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BB2EDA"/>
    <w:multiLevelType w:val="multilevel"/>
    <w:tmpl w:val="366ACF78"/>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6102E6"/>
    <w:multiLevelType w:val="multilevel"/>
    <w:tmpl w:val="E166C31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F3071B"/>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9322EF"/>
    <w:multiLevelType w:val="multilevel"/>
    <w:tmpl w:val="E5E669B6"/>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62260D"/>
    <w:multiLevelType w:val="hybridMultilevel"/>
    <w:tmpl w:val="15EE8ED2"/>
    <w:lvl w:ilvl="0" w:tplc="205AA3E0">
      <w:start w:val="1"/>
      <w:numFmt w:val="lowerLetter"/>
      <w:lvlText w:val="(%1)"/>
      <w:lvlJc w:val="left"/>
      <w:pPr>
        <w:ind w:left="720" w:hanging="360"/>
      </w:pPr>
      <w:rPr>
        <w:rFonts w:ascii="Arial" w:eastAsiaTheme="minorHAnsi" w:hAnsi="Arial" w:cs="Arial"/>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1FE5433D"/>
    <w:multiLevelType w:val="multilevel"/>
    <w:tmpl w:val="8B42015E"/>
    <w:lvl w:ilvl="0">
      <w:start w:val="1"/>
      <w:numFmt w:val="lowerLetter"/>
      <w:lvlText w:val="(%1)"/>
      <w:lvlJc w:val="left"/>
      <w:pPr>
        <w:ind w:left="683" w:hanging="360"/>
      </w:pPr>
    </w:lvl>
    <w:lvl w:ilvl="1">
      <w:start w:val="1"/>
      <w:numFmt w:val="lowerLetter"/>
      <w:lvlText w:val="%2."/>
      <w:lvlJc w:val="left"/>
      <w:pPr>
        <w:ind w:left="1403" w:hanging="360"/>
      </w:pPr>
    </w:lvl>
    <w:lvl w:ilvl="2">
      <w:start w:val="1"/>
      <w:numFmt w:val="lowerRoman"/>
      <w:lvlText w:val="%3."/>
      <w:lvlJc w:val="right"/>
      <w:pPr>
        <w:ind w:left="2123" w:hanging="180"/>
      </w:pPr>
    </w:lvl>
    <w:lvl w:ilvl="3">
      <w:start w:val="1"/>
      <w:numFmt w:val="decimal"/>
      <w:lvlText w:val="%4."/>
      <w:lvlJc w:val="left"/>
      <w:pPr>
        <w:ind w:left="2843" w:hanging="360"/>
      </w:pPr>
    </w:lvl>
    <w:lvl w:ilvl="4">
      <w:start w:val="1"/>
      <w:numFmt w:val="lowerLetter"/>
      <w:lvlText w:val="%5."/>
      <w:lvlJc w:val="left"/>
      <w:pPr>
        <w:ind w:left="3563" w:hanging="360"/>
      </w:pPr>
    </w:lvl>
    <w:lvl w:ilvl="5">
      <w:start w:val="1"/>
      <w:numFmt w:val="lowerRoman"/>
      <w:lvlText w:val="%6."/>
      <w:lvlJc w:val="right"/>
      <w:pPr>
        <w:ind w:left="4283" w:hanging="180"/>
      </w:pPr>
    </w:lvl>
    <w:lvl w:ilvl="6">
      <w:start w:val="1"/>
      <w:numFmt w:val="decimal"/>
      <w:lvlText w:val="%7."/>
      <w:lvlJc w:val="left"/>
      <w:pPr>
        <w:ind w:left="5003" w:hanging="360"/>
      </w:pPr>
    </w:lvl>
    <w:lvl w:ilvl="7">
      <w:start w:val="1"/>
      <w:numFmt w:val="lowerLetter"/>
      <w:lvlText w:val="%8."/>
      <w:lvlJc w:val="left"/>
      <w:pPr>
        <w:ind w:left="5723" w:hanging="360"/>
      </w:pPr>
    </w:lvl>
    <w:lvl w:ilvl="8">
      <w:start w:val="1"/>
      <w:numFmt w:val="lowerRoman"/>
      <w:lvlText w:val="%9."/>
      <w:lvlJc w:val="right"/>
      <w:pPr>
        <w:ind w:left="6443" w:hanging="180"/>
      </w:pPr>
    </w:lvl>
  </w:abstractNum>
  <w:abstractNum w:abstractNumId="13" w15:restartNumberingAfterBreak="0">
    <w:nsid w:val="23AA6D2D"/>
    <w:multiLevelType w:val="multilevel"/>
    <w:tmpl w:val="6D12C27C"/>
    <w:lvl w:ilvl="0">
      <w:start w:val="1"/>
      <w:numFmt w:val="lowerLetter"/>
      <w:lvlText w:val="(%1)"/>
      <w:lvlJc w:val="left"/>
      <w:pPr>
        <w:ind w:left="720" w:hanging="360"/>
      </w:pPr>
      <w:rPr>
        <w:rFonts w:ascii="Arial" w:eastAsia="Arial" w:hAnsi="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A71E2E"/>
    <w:multiLevelType w:val="multilevel"/>
    <w:tmpl w:val="28908814"/>
    <w:lvl w:ilvl="0">
      <w:start w:val="1"/>
      <w:numFmt w:val="lowerLetter"/>
      <w:lvlText w:val="(%1)"/>
      <w:lvlJc w:val="right"/>
      <w:pPr>
        <w:ind w:left="502" w:hanging="360"/>
      </w:pPr>
      <w:rPr>
        <w:rFonts w:ascii="Arial" w:eastAsia="Arial" w:hAnsi="Arial" w:cs="Arial"/>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267B6970"/>
    <w:multiLevelType w:val="multilevel"/>
    <w:tmpl w:val="7FB6C932"/>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6E34C5"/>
    <w:multiLevelType w:val="hybridMultilevel"/>
    <w:tmpl w:val="15EE8ED2"/>
    <w:lvl w:ilvl="0" w:tplc="205AA3E0">
      <w:start w:val="1"/>
      <w:numFmt w:val="lowerLetter"/>
      <w:lvlText w:val="(%1)"/>
      <w:lvlJc w:val="left"/>
      <w:pPr>
        <w:ind w:left="720" w:hanging="360"/>
      </w:pPr>
      <w:rPr>
        <w:rFonts w:ascii="Arial" w:eastAsiaTheme="minorHAnsi" w:hAnsi="Arial" w:cs="Arial"/>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65C1956"/>
    <w:multiLevelType w:val="multilevel"/>
    <w:tmpl w:val="7D92E25E"/>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907544"/>
    <w:multiLevelType w:val="multilevel"/>
    <w:tmpl w:val="1FCC4890"/>
    <w:lvl w:ilvl="0">
      <w:start w:val="1"/>
      <w:numFmt w:val="lowerLetter"/>
      <w:lvlText w:val="(%1)"/>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9727A34"/>
    <w:multiLevelType w:val="multilevel"/>
    <w:tmpl w:val="04F0B0AE"/>
    <w:lvl w:ilvl="0">
      <w:start w:val="5"/>
      <w:numFmt w:val="decimal"/>
      <w:lvlText w:val="%1."/>
      <w:lvlJc w:val="left"/>
      <w:pPr>
        <w:ind w:left="4046" w:hanging="360"/>
      </w:pPr>
      <w:rPr>
        <w:b/>
      </w:rPr>
    </w:lvl>
    <w:lvl w:ilvl="1">
      <w:start w:val="1"/>
      <w:numFmt w:val="decimal"/>
      <w:lvlText w:val="%1.%2."/>
      <w:lvlJc w:val="left"/>
      <w:pPr>
        <w:ind w:left="574" w:hanging="432"/>
      </w:pPr>
      <w:rPr>
        <w:sz w:val="24"/>
        <w:szCs w:val="24"/>
      </w:rPr>
    </w:lvl>
    <w:lvl w:ilvl="2">
      <w:start w:val="4"/>
      <w:numFmt w:val="decimal"/>
      <w:lvlText w:val="%1.%2.%3."/>
      <w:lvlJc w:val="left"/>
      <w:pPr>
        <w:ind w:left="788"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3"/>
      </w:pPr>
    </w:lvl>
    <w:lvl w:ilvl="8">
      <w:start w:val="1"/>
      <w:numFmt w:val="decimal"/>
      <w:lvlText w:val="%1.%2.%3.%4.%5.%6.%7.%8.%9."/>
      <w:lvlJc w:val="left"/>
      <w:pPr>
        <w:ind w:left="7723" w:hanging="1440"/>
      </w:pPr>
    </w:lvl>
  </w:abstractNum>
  <w:abstractNum w:abstractNumId="20" w15:restartNumberingAfterBreak="0">
    <w:nsid w:val="3BB67E40"/>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9260B7"/>
    <w:multiLevelType w:val="multilevel"/>
    <w:tmpl w:val="41FE24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4B0063"/>
    <w:multiLevelType w:val="multilevel"/>
    <w:tmpl w:val="F512739A"/>
    <w:lvl w:ilvl="0">
      <w:start w:val="1"/>
      <w:numFmt w:val="lowerLetter"/>
      <w:lvlText w:val="(%1)"/>
      <w:lvlJc w:val="righ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40472F87"/>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897C7F"/>
    <w:multiLevelType w:val="multilevel"/>
    <w:tmpl w:val="C832BD50"/>
    <w:lvl w:ilvl="0">
      <w:start w:val="1"/>
      <w:numFmt w:val="decimal"/>
      <w:lvlText w:val="%1."/>
      <w:lvlJc w:val="left"/>
      <w:pPr>
        <w:ind w:left="4046" w:hanging="360"/>
      </w:pPr>
      <w:rPr>
        <w:b/>
      </w:rPr>
    </w:lvl>
    <w:lvl w:ilvl="1">
      <w:start w:val="1"/>
      <w:numFmt w:val="decimal"/>
      <w:lvlText w:val="%1.%2."/>
      <w:lvlJc w:val="left"/>
      <w:pPr>
        <w:ind w:left="574" w:hanging="432"/>
      </w:pPr>
      <w:rPr>
        <w:sz w:val="24"/>
        <w:szCs w:val="24"/>
      </w:rPr>
    </w:lvl>
    <w:lvl w:ilvl="2">
      <w:start w:val="1"/>
      <w:numFmt w:val="decimal"/>
      <w:lvlText w:val="%1.%2.%3."/>
      <w:lvlJc w:val="left"/>
      <w:pPr>
        <w:ind w:left="788"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3"/>
      </w:pPr>
    </w:lvl>
    <w:lvl w:ilvl="8">
      <w:start w:val="1"/>
      <w:numFmt w:val="decimal"/>
      <w:lvlText w:val="%1.%2.%3.%4.%5.%6.%7.%8.%9."/>
      <w:lvlJc w:val="left"/>
      <w:pPr>
        <w:ind w:left="7723" w:hanging="1440"/>
      </w:pPr>
    </w:lvl>
  </w:abstractNum>
  <w:abstractNum w:abstractNumId="25" w15:restartNumberingAfterBreak="0">
    <w:nsid w:val="485C26B4"/>
    <w:multiLevelType w:val="multilevel"/>
    <w:tmpl w:val="1FFEC34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A80891"/>
    <w:multiLevelType w:val="multilevel"/>
    <w:tmpl w:val="C11A7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7908D1"/>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83653F"/>
    <w:multiLevelType w:val="multilevel"/>
    <w:tmpl w:val="C718931E"/>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64007F"/>
    <w:multiLevelType w:val="multilevel"/>
    <w:tmpl w:val="82EAB7E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5D5A0DED"/>
    <w:multiLevelType w:val="multilevel"/>
    <w:tmpl w:val="E760E4C8"/>
    <w:lvl w:ilvl="0">
      <w:start w:val="1"/>
      <w:numFmt w:val="lowerLetter"/>
      <w:lvlText w:val="(%1)"/>
      <w:lvlJc w:val="right"/>
      <w:pPr>
        <w:ind w:left="644" w:hanging="359"/>
      </w:pPr>
      <w:rPr>
        <w:rFonts w:ascii="Arial" w:eastAsia="Arial" w:hAnsi="Arial" w:cs="Arial"/>
      </w:rPr>
    </w:lvl>
    <w:lvl w:ilvl="1">
      <w:start w:val="1"/>
      <w:numFmt w:val="low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007CDD"/>
    <w:multiLevelType w:val="multilevel"/>
    <w:tmpl w:val="1BF271A4"/>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6046EA"/>
    <w:multiLevelType w:val="multilevel"/>
    <w:tmpl w:val="79B0E5C4"/>
    <w:lvl w:ilvl="0">
      <w:start w:val="1"/>
      <w:numFmt w:val="lowerLetter"/>
      <w:lvlText w:val="(%1)"/>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8249F5"/>
    <w:multiLevelType w:val="multilevel"/>
    <w:tmpl w:val="11926C2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8B119F"/>
    <w:multiLevelType w:val="multilevel"/>
    <w:tmpl w:val="6C0206AC"/>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0D1EC6"/>
    <w:multiLevelType w:val="multilevel"/>
    <w:tmpl w:val="7F462D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6B4061"/>
    <w:multiLevelType w:val="hybridMultilevel"/>
    <w:tmpl w:val="03E84510"/>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15:restartNumberingAfterBreak="0">
    <w:nsid w:val="63F80049"/>
    <w:multiLevelType w:val="multilevel"/>
    <w:tmpl w:val="60B67E66"/>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4391FC6"/>
    <w:multiLevelType w:val="multilevel"/>
    <w:tmpl w:val="2DAC7DB4"/>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47E02A2"/>
    <w:multiLevelType w:val="multilevel"/>
    <w:tmpl w:val="5D9C8D80"/>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9D36CC"/>
    <w:multiLevelType w:val="multilevel"/>
    <w:tmpl w:val="FDDC9BC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4A5417"/>
    <w:multiLevelType w:val="multilevel"/>
    <w:tmpl w:val="7F4CEA6A"/>
    <w:lvl w:ilvl="0">
      <w:start w:val="1"/>
      <w:numFmt w:val="lowerLetter"/>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AD2DBB"/>
    <w:multiLevelType w:val="multilevel"/>
    <w:tmpl w:val="3856C096"/>
    <w:lvl w:ilvl="0">
      <w:start w:val="1"/>
      <w:numFmt w:val="lowerLetter"/>
      <w:lvlText w:val="(%1)"/>
      <w:lvlJc w:val="right"/>
      <w:pPr>
        <w:ind w:left="360" w:hanging="360"/>
      </w:pPr>
      <w:rPr>
        <w:rFonts w:ascii="Arial" w:eastAsia="Arial" w:hAnsi="Arial" w:cs="Arial"/>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E58428A"/>
    <w:multiLevelType w:val="hybridMultilevel"/>
    <w:tmpl w:val="FF1A1A66"/>
    <w:lvl w:ilvl="0" w:tplc="2F6A39DA">
      <w:start w:val="1"/>
      <w:numFmt w:val="lowerLetter"/>
      <w:lvlText w:val="(%1)"/>
      <w:lvlJc w:val="right"/>
      <w:pPr>
        <w:ind w:left="644" w:hanging="360"/>
      </w:pPr>
      <w:rPr>
        <w:rFonts w:ascii="Arial" w:eastAsiaTheme="minorHAnsi" w:hAnsi="Arial"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397CAC"/>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F635F73"/>
    <w:multiLevelType w:val="multilevel"/>
    <w:tmpl w:val="91B8E1F2"/>
    <w:lvl w:ilvl="0">
      <w:start w:val="1"/>
      <w:numFmt w:val="lowerLetter"/>
      <w:lvlText w:val="(%1)"/>
      <w:lvlJc w:val="left"/>
      <w:pPr>
        <w:ind w:left="644" w:hanging="359"/>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9"/>
  </w:num>
  <w:num w:numId="3">
    <w:abstractNumId w:val="32"/>
  </w:num>
  <w:num w:numId="4">
    <w:abstractNumId w:val="12"/>
  </w:num>
  <w:num w:numId="5">
    <w:abstractNumId w:val="34"/>
  </w:num>
  <w:num w:numId="6">
    <w:abstractNumId w:val="15"/>
  </w:num>
  <w:num w:numId="7">
    <w:abstractNumId w:val="9"/>
  </w:num>
  <w:num w:numId="8">
    <w:abstractNumId w:val="33"/>
  </w:num>
  <w:num w:numId="9">
    <w:abstractNumId w:val="6"/>
  </w:num>
  <w:num w:numId="10">
    <w:abstractNumId w:val="5"/>
  </w:num>
  <w:num w:numId="11">
    <w:abstractNumId w:val="39"/>
  </w:num>
  <w:num w:numId="12">
    <w:abstractNumId w:val="42"/>
  </w:num>
  <w:num w:numId="13">
    <w:abstractNumId w:val="38"/>
  </w:num>
  <w:num w:numId="14">
    <w:abstractNumId w:val="2"/>
  </w:num>
  <w:num w:numId="15">
    <w:abstractNumId w:val="4"/>
  </w:num>
  <w:num w:numId="16">
    <w:abstractNumId w:val="41"/>
  </w:num>
  <w:num w:numId="17">
    <w:abstractNumId w:val="28"/>
  </w:num>
  <w:num w:numId="18">
    <w:abstractNumId w:val="25"/>
  </w:num>
  <w:num w:numId="19">
    <w:abstractNumId w:val="30"/>
  </w:num>
  <w:num w:numId="20">
    <w:abstractNumId w:val="21"/>
  </w:num>
  <w:num w:numId="21">
    <w:abstractNumId w:val="24"/>
  </w:num>
  <w:num w:numId="22">
    <w:abstractNumId w:val="14"/>
  </w:num>
  <w:num w:numId="23">
    <w:abstractNumId w:val="3"/>
  </w:num>
  <w:num w:numId="24">
    <w:abstractNumId w:val="8"/>
  </w:num>
  <w:num w:numId="25">
    <w:abstractNumId w:val="17"/>
  </w:num>
  <w:num w:numId="26">
    <w:abstractNumId w:val="35"/>
  </w:num>
  <w:num w:numId="27">
    <w:abstractNumId w:val="13"/>
  </w:num>
  <w:num w:numId="28">
    <w:abstractNumId w:val="26"/>
  </w:num>
  <w:num w:numId="29">
    <w:abstractNumId w:val="37"/>
  </w:num>
  <w:num w:numId="30">
    <w:abstractNumId w:val="18"/>
  </w:num>
  <w:num w:numId="31">
    <w:abstractNumId w:val="10"/>
  </w:num>
  <w:num w:numId="32">
    <w:abstractNumId w:val="40"/>
  </w:num>
  <w:num w:numId="33">
    <w:abstractNumId w:val="1"/>
  </w:num>
  <w:num w:numId="34">
    <w:abstractNumId w:val="31"/>
  </w:num>
  <w:num w:numId="35">
    <w:abstractNumId w:val="0"/>
  </w:num>
  <w:num w:numId="36">
    <w:abstractNumId w:val="19"/>
  </w:num>
  <w:num w:numId="37">
    <w:abstractNumId w:val="22"/>
  </w:num>
  <w:num w:numId="38">
    <w:abstractNumId w:val="43"/>
  </w:num>
  <w:num w:numId="39">
    <w:abstractNumId w:val="36"/>
  </w:num>
  <w:num w:numId="40">
    <w:abstractNumId w:val="11"/>
  </w:num>
  <w:num w:numId="41">
    <w:abstractNumId w:val="27"/>
  </w:num>
  <w:num w:numId="42">
    <w:abstractNumId w:val="23"/>
  </w:num>
  <w:num w:numId="43">
    <w:abstractNumId w:val="20"/>
  </w:num>
  <w:num w:numId="44">
    <w:abstractNumId w:val="45"/>
  </w:num>
  <w:num w:numId="45">
    <w:abstractNumId w:val="4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1A6"/>
    <w:rsid w:val="000346A2"/>
    <w:rsid w:val="0004617C"/>
    <w:rsid w:val="00081080"/>
    <w:rsid w:val="00105476"/>
    <w:rsid w:val="00157CFA"/>
    <w:rsid w:val="001961F7"/>
    <w:rsid w:val="002E4BC1"/>
    <w:rsid w:val="00431ECD"/>
    <w:rsid w:val="00500FE4"/>
    <w:rsid w:val="00576E8F"/>
    <w:rsid w:val="00672401"/>
    <w:rsid w:val="006774A2"/>
    <w:rsid w:val="006B6A5E"/>
    <w:rsid w:val="006C44F1"/>
    <w:rsid w:val="00887A44"/>
    <w:rsid w:val="008C454D"/>
    <w:rsid w:val="00916FD0"/>
    <w:rsid w:val="009720B0"/>
    <w:rsid w:val="00976C92"/>
    <w:rsid w:val="00A031A6"/>
    <w:rsid w:val="00A87292"/>
    <w:rsid w:val="00A959C6"/>
    <w:rsid w:val="00AB12A9"/>
    <w:rsid w:val="00AC05C6"/>
    <w:rsid w:val="00C92A87"/>
    <w:rsid w:val="00D43E3B"/>
    <w:rsid w:val="00DA232A"/>
    <w:rsid w:val="00F024E4"/>
    <w:rsid w:val="00F07499"/>
    <w:rsid w:val="00F47CB8"/>
    <w:rsid w:val="00FB177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DEE7"/>
  <w15:docId w15:val="{F436B47C-1F85-F549-9842-CB556C91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080"/>
  </w:style>
  <w:style w:type="paragraph" w:styleId="Heading1">
    <w:name w:val="heading 1"/>
    <w:basedOn w:val="Normal"/>
    <w:next w:val="Normal"/>
    <w:uiPriority w:val="9"/>
    <w:qFormat/>
    <w:pPr>
      <w:spacing w:line="360" w:lineRule="auto"/>
      <w:ind w:left="336" w:hanging="336"/>
      <w:outlineLvl w:val="0"/>
    </w:pPr>
    <w:rPr>
      <w:rFonts w:ascii="Arial" w:eastAsia="Arial" w:hAnsi="Arial" w:cs="Arial"/>
      <w:b/>
      <w:color w:val="0070C0"/>
      <w:sz w:val="28"/>
      <w:szCs w:val="28"/>
    </w:rPr>
  </w:style>
  <w:style w:type="paragraph" w:styleId="Heading2">
    <w:name w:val="heading 2"/>
    <w:basedOn w:val="Normal"/>
    <w:next w:val="Normal"/>
    <w:uiPriority w:val="9"/>
    <w:unhideWhenUsed/>
    <w:qFormat/>
    <w:pPr>
      <w:spacing w:line="360" w:lineRule="auto"/>
      <w:ind w:left="567" w:hanging="575"/>
      <w:jc w:val="both"/>
      <w:outlineLvl w:val="1"/>
    </w:pPr>
    <w:rPr>
      <w:rFonts w:ascii="Arial" w:eastAsia="Arial" w:hAnsi="Arial" w:cs="Arial"/>
      <w:b/>
      <w:color w:val="000000"/>
      <w:sz w:val="24"/>
      <w:szCs w:val="24"/>
    </w:rPr>
  </w:style>
  <w:style w:type="paragraph" w:styleId="Heading3">
    <w:name w:val="heading 3"/>
    <w:basedOn w:val="Normal"/>
    <w:next w:val="Normal"/>
    <w:uiPriority w:val="9"/>
    <w:unhideWhenUsed/>
    <w:qFormat/>
    <w:pPr>
      <w:spacing w:line="360" w:lineRule="auto"/>
      <w:ind w:left="716"/>
      <w:jc w:val="both"/>
      <w:outlineLvl w:val="2"/>
    </w:pPr>
    <w:rPr>
      <w:rFonts w:ascii="Arial" w:eastAsia="Arial" w:hAnsi="Arial" w:cs="Arial"/>
      <w:b/>
      <w:sz w:val="20"/>
      <w:szCs w:val="20"/>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0">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1">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2">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4">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5">
    <w:basedOn w:val="TableNormal"/>
    <w:pPr>
      <w:spacing w:after="0" w:line="240" w:lineRule="auto"/>
      <w:jc w:val="both"/>
    </w:p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7">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8">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9">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a">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b">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c">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d">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e">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0">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1">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2">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3">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4">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5">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6">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7">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8">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9">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a">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b">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c">
    <w:basedOn w:val="TableNormal"/>
    <w:pPr>
      <w:spacing w:after="0" w:line="240" w:lineRule="auto"/>
      <w:jc w:val="both"/>
    </w:p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d">
    <w:basedOn w:val="TableNormal"/>
    <w:pPr>
      <w:spacing w:after="0" w:line="240" w:lineRule="auto"/>
      <w:jc w:val="both"/>
    </w:pPr>
    <w:tblPr>
      <w:tblStyleRowBandSize w:val="1"/>
      <w:tblStyleColBandSize w:val="1"/>
      <w:tblCellMar>
        <w:left w:w="115" w:type="dxa"/>
        <w:right w:w="115" w:type="dxa"/>
      </w:tblCellMar>
    </w:tblPr>
    <w:tcPr>
      <w:shd w:val="clear" w:color="auto" w:fill="auto"/>
    </w:tcPr>
  </w:style>
  <w:style w:type="paragraph" w:styleId="BalloonText">
    <w:name w:val="Balloon Text"/>
    <w:basedOn w:val="Normal"/>
    <w:link w:val="BalloonTextChar"/>
    <w:uiPriority w:val="99"/>
    <w:semiHidden/>
    <w:unhideWhenUsed/>
    <w:rsid w:val="000346A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46A2"/>
    <w:rPr>
      <w:rFonts w:ascii="Times New Roman" w:hAnsi="Times New Roman" w:cs="Times New Roman"/>
      <w:sz w:val="18"/>
      <w:szCs w:val="18"/>
    </w:rPr>
  </w:style>
  <w:style w:type="paragraph" w:styleId="Header">
    <w:name w:val="header"/>
    <w:basedOn w:val="Normal"/>
    <w:link w:val="HeaderChar"/>
    <w:uiPriority w:val="99"/>
    <w:unhideWhenUsed/>
    <w:rsid w:val="002E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BC1"/>
  </w:style>
  <w:style w:type="paragraph" w:styleId="Footer">
    <w:name w:val="footer"/>
    <w:basedOn w:val="Normal"/>
    <w:link w:val="FooterChar"/>
    <w:uiPriority w:val="99"/>
    <w:unhideWhenUsed/>
    <w:rsid w:val="002E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BC1"/>
  </w:style>
  <w:style w:type="paragraph" w:styleId="TOC1">
    <w:name w:val="toc 1"/>
    <w:basedOn w:val="Normal"/>
    <w:next w:val="Normal"/>
    <w:autoRedefine/>
    <w:uiPriority w:val="39"/>
    <w:unhideWhenUsed/>
    <w:rsid w:val="002E4BC1"/>
    <w:pPr>
      <w:spacing w:after="100"/>
    </w:pPr>
  </w:style>
  <w:style w:type="paragraph" w:styleId="TOC2">
    <w:name w:val="toc 2"/>
    <w:basedOn w:val="Normal"/>
    <w:next w:val="Normal"/>
    <w:autoRedefine/>
    <w:uiPriority w:val="39"/>
    <w:unhideWhenUsed/>
    <w:rsid w:val="002E4BC1"/>
    <w:pPr>
      <w:spacing w:after="100"/>
      <w:ind w:left="220"/>
    </w:pPr>
  </w:style>
  <w:style w:type="paragraph" w:styleId="TOC3">
    <w:name w:val="toc 3"/>
    <w:basedOn w:val="Normal"/>
    <w:next w:val="Normal"/>
    <w:autoRedefine/>
    <w:uiPriority w:val="39"/>
    <w:unhideWhenUsed/>
    <w:rsid w:val="002E4BC1"/>
    <w:pPr>
      <w:spacing w:after="100"/>
      <w:ind w:left="440"/>
    </w:pPr>
  </w:style>
  <w:style w:type="paragraph" w:styleId="TOC4">
    <w:name w:val="toc 4"/>
    <w:basedOn w:val="Normal"/>
    <w:next w:val="Normal"/>
    <w:autoRedefine/>
    <w:uiPriority w:val="39"/>
    <w:unhideWhenUsed/>
    <w:rsid w:val="002E4BC1"/>
    <w:pPr>
      <w:spacing w:after="100"/>
      <w:ind w:left="660"/>
    </w:pPr>
  </w:style>
  <w:style w:type="paragraph" w:styleId="TOC5">
    <w:name w:val="toc 5"/>
    <w:basedOn w:val="Normal"/>
    <w:next w:val="Normal"/>
    <w:autoRedefine/>
    <w:uiPriority w:val="39"/>
    <w:unhideWhenUsed/>
    <w:rsid w:val="002E4BC1"/>
    <w:pPr>
      <w:spacing w:after="100"/>
      <w:ind w:left="880"/>
    </w:pPr>
  </w:style>
  <w:style w:type="paragraph" w:styleId="TOC6">
    <w:name w:val="toc 6"/>
    <w:basedOn w:val="Normal"/>
    <w:next w:val="Normal"/>
    <w:autoRedefine/>
    <w:uiPriority w:val="39"/>
    <w:unhideWhenUsed/>
    <w:rsid w:val="002E4BC1"/>
    <w:pPr>
      <w:spacing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2E4BC1"/>
    <w:pPr>
      <w:spacing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2E4BC1"/>
    <w:pPr>
      <w:spacing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2E4BC1"/>
    <w:pPr>
      <w:spacing w:after="100" w:line="240" w:lineRule="auto"/>
      <w:ind w:left="1920"/>
    </w:pPr>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2E4BC1"/>
    <w:rPr>
      <w:color w:val="0000FF" w:themeColor="hyperlink"/>
      <w:u w:val="single"/>
    </w:rPr>
  </w:style>
  <w:style w:type="character" w:styleId="UnresolvedMention">
    <w:name w:val="Unresolved Mention"/>
    <w:basedOn w:val="DefaultParagraphFont"/>
    <w:uiPriority w:val="99"/>
    <w:semiHidden/>
    <w:unhideWhenUsed/>
    <w:rsid w:val="002E4BC1"/>
    <w:rPr>
      <w:color w:val="605E5C"/>
      <w:shd w:val="clear" w:color="auto" w:fill="E1DFDD"/>
    </w:rPr>
  </w:style>
  <w:style w:type="paragraph" w:styleId="ListParagraph">
    <w:name w:val="List Paragraph"/>
    <w:basedOn w:val="Normal"/>
    <w:link w:val="ListParagraphChar"/>
    <w:uiPriority w:val="34"/>
    <w:qFormat/>
    <w:rsid w:val="00D43E3B"/>
    <w:pPr>
      <w:ind w:left="720"/>
      <w:contextualSpacing/>
    </w:pPr>
  </w:style>
  <w:style w:type="character" w:customStyle="1" w:styleId="Heading5Char">
    <w:name w:val="Heading 5 Char"/>
    <w:basedOn w:val="DefaultParagraphFont"/>
    <w:link w:val="Heading5"/>
    <w:uiPriority w:val="9"/>
    <w:rsid w:val="00D43E3B"/>
    <w:rPr>
      <w:b/>
    </w:rPr>
  </w:style>
  <w:style w:type="character" w:customStyle="1" w:styleId="ListParagraphChar">
    <w:name w:val="List Paragraph Char"/>
    <w:basedOn w:val="DefaultParagraphFont"/>
    <w:link w:val="ListParagraph"/>
    <w:uiPriority w:val="34"/>
    <w:rsid w:val="00D43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839690">
      <w:bodyDiv w:val="1"/>
      <w:marLeft w:val="0"/>
      <w:marRight w:val="0"/>
      <w:marTop w:val="0"/>
      <w:marBottom w:val="0"/>
      <w:divBdr>
        <w:top w:val="none" w:sz="0" w:space="0" w:color="auto"/>
        <w:left w:val="none" w:sz="0" w:space="0" w:color="auto"/>
        <w:bottom w:val="none" w:sz="0" w:space="0" w:color="auto"/>
        <w:right w:val="none" w:sz="0" w:space="0" w:color="auto"/>
      </w:divBdr>
    </w:div>
    <w:div w:id="1627395451">
      <w:bodyDiv w:val="1"/>
      <w:marLeft w:val="0"/>
      <w:marRight w:val="0"/>
      <w:marTop w:val="0"/>
      <w:marBottom w:val="0"/>
      <w:divBdr>
        <w:top w:val="none" w:sz="0" w:space="0" w:color="auto"/>
        <w:left w:val="none" w:sz="0" w:space="0" w:color="auto"/>
        <w:bottom w:val="none" w:sz="0" w:space="0" w:color="auto"/>
        <w:right w:val="none" w:sz="0" w:space="0" w:color="auto"/>
      </w:divBdr>
    </w:div>
    <w:div w:id="2122989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https://www.europarl.europa.eu/RegData/etudes/STUD/2015/513991/IPOL_STU(2015)513991_EN.pdf" TargetMode="External"/><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asiapacificenergy.org/" TargetMode="External"/><Relationship Id="rId53" Type="http://schemas.openxmlformats.org/officeDocument/2006/relationships/hyperlink" Target="https://www.neliti.com/publications/51275/percentage-of-households-by-province-and-type-of-cooking-fuel-2001-2007-2015" TargetMode="External"/><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9.png"/><Relationship Id="rId14" Type="http://schemas.openxmlformats.org/officeDocument/2006/relationships/hyperlink" Target="https://www.unescap.org/our-work/energy/nexstep"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adb.org/sites/default/files/publication/182314/achieving-electricity-access-ino.pdf." TargetMode="External"/><Relationship Id="rId48" Type="http://schemas.openxmlformats.org/officeDocument/2006/relationships/hyperlink" Target="https://unfccc.int/sites/default/files/resource/8360571_Indonesia-NC3-2-Third%20National%20Communication%20-%20Indonesia%20-%20editorial%20refinement%2013022018.pdf" TargetMode="External"/><Relationship Id="rId56" Type="http://schemas.openxmlformats.org/officeDocument/2006/relationships/hyperlink" Target="https://trackingsdg7.esmap.org/data/files/download-documents/03-sdg7-chapter2-accesstocleanfuelsandtech4cooking.pdf" TargetMode="External"/><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s://www.esdm.go.id/assets/media/content/content-handbook-of-energy-and-economic-statistics-of-indonesia-2018-final-edition.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climateanalytics.org/media/decarbonisingasia2019-fullreport-climateanalytics.pdf"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unfccc.int/sites/default/files/resource/8360571_Indonesia-NC3-2-Third%20National%20%20Communication%20-%20%20Indonesia%20-%20%20editorial%20%20refinement%2013022018.pdf." TargetMode="External"/><Relationship Id="rId62" Type="http://schemas.openxmlformats.org/officeDocument/2006/relationships/image" Target="media/image37.png"/><Relationship Id="rId70"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irena.org/publications/2020/Jun/Post-COVID-Recovery" TargetMode="External"/><Relationship Id="rId57" Type="http://schemas.openxmlformats.org/officeDocument/2006/relationships/hyperlink" Target="https://www.thejakartapost.com/news/2020/03/31/jokowi-announces-free-electricity-discounts-for-households-hardest-hit-by-covid-19-impacts.html." TargetMode="External"/><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hyperlink" Target="https://www.adb.org/news/indonesia-s-economic-growth-slow-2020-covid-19-impact-gradual-recovery-expected-2021." TargetMode="External"/><Relationship Id="rId52" Type="http://schemas.openxmlformats.org/officeDocument/2006/relationships/hyperlink" Target="https://gatrik.esdm.go.id//assets/uploads/download_index/files/5b16d-kepmen-esdm-no.-39-k-20-mem-2019-tentang-pengesahan-ruptl-pt-pln-2019-2028.pdf" TargetMode="External"/><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www.iisd.org/pdf/2008/indonesia_biofuels.pdf." TargetMode="External"/><Relationship Id="rId55" Type="http://schemas.openxmlformats.org/officeDocument/2006/relationships/hyperlink" Target="https://web.pln.co.id/stakeholder/rupt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ndp.org/content/undp/en/home/librarypage/environment-energy/low_emission_climateresilientdevelopment/derisking-renewable-energy-investment.html" TargetMode="External"/><Relationship Id="rId2" Type="http://schemas.openxmlformats.org/officeDocument/2006/relationships/hyperlink" Target="http://documents.worldbank.org/curated/en/937711468320944879/pdf/88699-REVISED-LW16-Fin-Logo-OKR.pdf" TargetMode="External"/><Relationship Id="rId1" Type="http://schemas.openxmlformats.org/officeDocument/2006/relationships/hyperlink" Target="https://www.bloomberg.com/quote/USDIDR:C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550B7-788B-854F-BE75-D25F2704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107</Pages>
  <Words>35591</Words>
  <Characters>202869</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 Fen Yong</cp:lastModifiedBy>
  <cp:revision>8</cp:revision>
  <dcterms:created xsi:type="dcterms:W3CDTF">2021-01-18T05:10:00Z</dcterms:created>
  <dcterms:modified xsi:type="dcterms:W3CDTF">2021-01-22T07:22:00Z</dcterms:modified>
</cp:coreProperties>
</file>